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officedocument.wordprocessingml.numbering+xml" PartName="/word/numbering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package.core-properties+xml" PartName="/docProps/cor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13.1 · Answer Key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Income Taxes: the figures and the schedules · Income Taxes · 30 items · keep this sheet separate from the handout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5"/>
        <w:gridCol w:w="28"/>
        <w:gridCol w:w="5"/>
        <w:gridCol w:w="28"/>
        <w:gridCol w:w="5"/>
        <w:gridCol w:w="29"/>
      </w:tblGrid>
      <w:tr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Temporary, deductible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Temporary, deductible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Permanent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None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Permanent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None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Permanent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None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Temporary, taxable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Deferred tax liability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</w:tr>
    </w:tbl>
    <w:p/>
    <w:p>
      <w:pPr>
        <w:spacing w:before="110" w:after="50"/>
        <w:pBdr>
          <w:top w:val="single" w:sz="8" w:space="5" w:color="1F7A6A"/>
        </w:pBdr>
      </w:pPr>
      <w:r>
        <w:rPr>
          <w:b/>
          <w:bCs/>
          <w:color w:val="1F7A6A"/>
          <w:sz w:val="17"/>
          <w:szCs w:val="17"/>
        </w:rPr>
        <w:t xml:space="preserve">Why, where it is worth saying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19   </w:t>
      </w:r>
      <w:r>
        <w:rPr>
          <w:sz w:val="15"/>
          <w:szCs w:val="15"/>
        </w:rPr>
        <w:t xml:space="preserve">Deferred taxes match tax expense to the period of the related income.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20   </w:t>
      </w:r>
      <w:r>
        <w:rPr>
          <w:sz w:val="15"/>
          <w:szCs w:val="15"/>
        </w:rPr>
        <w:t xml:space="preserve">It is never taxable, so it never reverses.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21   </w:t>
      </w:r>
      <w:r>
        <w:rPr>
          <w:sz w:val="15"/>
          <w:szCs w:val="15"/>
        </w:rPr>
        <w:t xml:space="preserve">Less tax now means more tax later.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22   </w:t>
      </w:r>
      <w:r>
        <w:rPr>
          <w:sz w:val="15"/>
          <w:szCs w:val="15"/>
        </w:rPr>
        <w:t xml:space="preserve">U.S. GAAP records the full DTA and a separate allowance.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23   </w:t>
      </w:r>
      <w:r>
        <w:rPr>
          <w:sz w:val="15"/>
          <w:szCs w:val="15"/>
        </w:rPr>
        <w:t xml:space="preserve">U.S. GAAP uses enacted rates only.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24   </w:t>
      </w:r>
      <w:r>
        <w:rPr>
          <w:sz w:val="15"/>
          <w:szCs w:val="15"/>
        </w:rPr>
        <w:t xml:space="preserve">An allowance is needed for the part not expected to be realized.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25   </w:t>
      </w:r>
      <w:r>
        <w:rPr>
          <w:sz w:val="15"/>
          <w:szCs w:val="15"/>
        </w:rPr>
        <w:t xml:space="preserve">The 20-year limit applied to older losses.</w:t>
      </w:r>
    </w:p>
    <w:p/>
    <w:p>
      <w:pPr>
        <w:sectPr>
          <w:headerReference w:type="default" r:id="rIdHdr1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13.2 · Answer Key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Income Taxes: the figures and the schedules · part 2 · Income Taxes · 35 items · keep this sheet separate from the handout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5"/>
        <w:gridCol w:w="28"/>
        <w:gridCol w:w="5"/>
        <w:gridCol w:w="28"/>
        <w:gridCol w:w="5"/>
        <w:gridCol w:w="29"/>
      </w:tblGrid>
      <w:tr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Deductible temporary difference (DTA)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I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I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88,000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Permanent difference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10,500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Taxable temporary difference (DTL)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98,500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Deductible temporary difference (DTA)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/>
            </w:r>
          </w:p>
        </w:tc>
      </w:tr>
    </w:tbl>
    <w:p/>
    <w:p>
      <w:pPr>
        <w:spacing w:before="110" w:after="50"/>
        <w:pBdr>
          <w:top w:val="single" w:sz="8" w:space="5" w:color="1F7A6A"/>
        </w:pBdr>
      </w:pPr>
      <w:r>
        <w:rPr>
          <w:b/>
          <w:bCs/>
          <w:color w:val="1F7A6A"/>
          <w:sz w:val="17"/>
          <w:szCs w:val="17"/>
        </w:rPr>
        <w:t xml:space="preserve">Why, where it is worth saying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14   </w:t>
      </w:r>
      <w:r>
        <w:rPr>
          <w:sz w:val="15"/>
          <w:szCs w:val="15"/>
        </w:rPr>
        <w:t xml:space="preserve">25% of the 400,000 increase in net taxable temporary differences.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15   </w:t>
      </w:r>
      <w:r>
        <w:rPr>
          <w:sz w:val="15"/>
          <w:szCs w:val="15"/>
        </w:rPr>
        <w:t xml:space="preserve">Pretax income adjusted for the permanent and temporary differences.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16   </w:t>
      </w:r>
      <w:r>
        <w:rPr>
          <w:sz w:val="15"/>
          <w:szCs w:val="15"/>
        </w:rPr>
        <w:t xml:space="preserve">Current tax $357,000 + deferred tax $140,500.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17   </w:t>
      </w:r>
      <w:r>
        <w:rPr>
          <w:sz w:val="15"/>
          <w:szCs w:val="15"/>
        </w:rPr>
        <w:t xml:space="preserve">Permanent differences change the effective rate.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18   </w:t>
      </w:r>
      <w:r>
        <w:rPr>
          <w:sz w:val="15"/>
          <w:szCs w:val="15"/>
        </w:rPr>
        <w:t xml:space="preserve">Existing deferred taxes are not remeasured.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22   </w:t>
      </w:r>
      <w:r>
        <w:rPr>
          <w:sz w:val="15"/>
          <w:szCs w:val="15"/>
        </w:rPr>
        <w:t xml:space="preserve">There is no averaging rule.</w:t>
      </w:r>
    </w:p>
    <w:p/>
    <w:p>
      <w:pPr>
        <w:sectPr>
          <w:headerReference w:type="default" r:id="rIdHdr2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13.3 · Answer Key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Income Taxes: exam practice · Income Taxes · 45 items · keep this sheet separate from the handout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5"/>
        <w:gridCol w:w="28"/>
        <w:gridCol w:w="5"/>
        <w:gridCol w:w="28"/>
        <w:gridCol w:w="5"/>
        <w:gridCol w:w="29"/>
      </w:tblGrid>
      <w:tr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I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I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</w:tr>
    </w:tbl>
    <w:p/>
    <w:p>
      <w:pPr>
        <w:spacing w:before="110" w:after="50"/>
        <w:pBdr>
          <w:top w:val="single" w:sz="8" w:space="5" w:color="1F7A6A"/>
        </w:pBdr>
      </w:pPr>
      <w:r>
        <w:rPr>
          <w:b/>
          <w:bCs/>
          <w:color w:val="1F7A6A"/>
          <w:sz w:val="17"/>
          <w:szCs w:val="17"/>
        </w:rPr>
        <w:t xml:space="preserve">Why, where it is worth saying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   </w:t>
      </w:r>
      <w:r>
        <w:rPr>
          <w:sz w:val="15"/>
          <w:szCs w:val="15"/>
        </w:rPr>
        <w:t xml:space="preserve">Total expense has a current and a deferred part.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   </w:t>
      </w:r>
      <w:r>
        <w:rPr>
          <w:sz w:val="15"/>
          <w:szCs w:val="15"/>
        </w:rPr>
        <w:t xml:space="preserve">Increase in DTL of $80,000 less increase in DTA of $20,000.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   </w:t>
      </w:r>
      <w:r>
        <w:rPr>
          <w:sz w:val="15"/>
          <w:szCs w:val="15"/>
        </w:rPr>
        <w:t xml:space="preserve">The enactment date decides the period.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4   </w:t>
      </w:r>
      <w:r>
        <w:rPr>
          <w:sz w:val="15"/>
          <w:szCs w:val="15"/>
        </w:rPr>
        <w:t xml:space="preserve">Intraperiod allocation keeps tax with the item that caused it.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5   </w:t>
      </w:r>
      <w:r>
        <w:rPr>
          <w:sz w:val="15"/>
          <w:szCs w:val="15"/>
        </w:rPr>
        <w:t xml:space="preserve">Permanent differences change taxable income and the expense.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6   </w:t>
      </w:r>
      <w:r>
        <w:rPr>
          <w:sz w:val="15"/>
          <w:szCs w:val="15"/>
        </w:rPr>
        <w:t xml:space="preserve">Step 1 of the uncertain tax position model.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8   </w:t>
      </w:r>
      <w:r>
        <w:rPr>
          <w:sz w:val="15"/>
          <w:szCs w:val="15"/>
        </w:rPr>
        <w:t xml:space="preserve">The enactment date, not the effective date, decides the period.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10   </w:t>
      </w:r>
      <w:r>
        <w:rPr>
          <w:sz w:val="15"/>
          <w:szCs w:val="15"/>
        </w:rPr>
        <w:t xml:space="preserve">The effective date is not the trigger.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12   </w:t>
      </w:r>
      <w:r>
        <w:rPr>
          <w:sz w:val="15"/>
          <w:szCs w:val="15"/>
        </w:rPr>
        <w:t xml:space="preserve">Future profits support realization.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13   </w:t>
      </w:r>
      <w:r>
        <w:rPr>
          <w:sz w:val="15"/>
          <w:szCs w:val="15"/>
        </w:rPr>
        <w:t xml:space="preserve">No refund appears in the statements.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23   </w:t>
      </w:r>
      <w:r>
        <w:rPr>
          <w:sz w:val="15"/>
          <w:szCs w:val="15"/>
        </w:rPr>
        <w:t xml:space="preserve">It reverses when the repairs are paid.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24   </w:t>
      </w:r>
      <w:r>
        <w:rPr>
          <w:sz w:val="15"/>
          <w:szCs w:val="15"/>
        </w:rPr>
        <w:t xml:space="preserve">Tax is paid now on income recognized later, so future tax will be lower.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25   </w:t>
      </w:r>
      <w:r>
        <w:rPr>
          <w:sz w:val="15"/>
          <w:szCs w:val="15"/>
        </w:rPr>
        <w:t xml:space="preserve">Tax will be paid later, as cash is collected.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26   </w:t>
      </w:r>
      <w:r>
        <w:rPr>
          <w:sz w:val="15"/>
          <w:szCs w:val="15"/>
        </w:rPr>
        <w:t xml:space="preserve">They are in one income but never in the other.</w:t>
      </w:r>
    </w:p>
    <w:p/>
    <w:p>
      <w:pPr>
        <w:sectPr>
          <w:headerReference w:type="default" r:id="rIdHdr3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sectPr>
      <w:headerReference w:type="default" r:id="rIdHdr3"/>
      <w:pgSz w:w="11906" w:h="16838" w:orient="portrait"/>
      <w:pgMar w:top="1180" w:right="1000" w:bottom="900" w:left="1000" w:header="708" w:footer="708" w:gutter="0"/>
      <w:docGrid w:linePitch="360"/>
      <w:pgNumTyp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13.1 · Answer Key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13.2 · Answer Key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13.3 · Answer Key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defaultTabStop w:val="720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 standalone="yes"?><Relationships xmlns="http://schemas.openxmlformats.org/package/2006/relationships"><Relationship Id="rIdstyles" Target="styles.xml" Type="http://schemas.openxmlformats.org/officeDocument/2006/relationships/styles"/><Relationship Id="rIdnumbering" Target="numbering.xml" Type="http://schemas.openxmlformats.org/officeDocument/2006/relationships/numbering"/><Relationship Id="rIdfontTable" Target="fontTable.xml" Type="http://schemas.openxmlformats.org/officeDocument/2006/relationships/fontTable"/><Relationship Id="rIdsettings" Target="settings.xml" Type="http://schemas.openxmlformats.org/officeDocument/2006/relationships/settings"/><Relationship Id="rIdHdr1" Target="header1.xml" Type="http://schemas.openxmlformats.org/officeDocument/2006/relationships/header"/><Relationship Id="rIdHdr2" Target="header2.xml" Type="http://schemas.openxmlformats.org/officeDocument/2006/relationships/header"/><Relationship Id="rIdHdr3" Target="header3.xml" Type="http://schemas.openxmlformats.org/officeDocument/2006/relationships/header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CMA Part 1 · Section A · Chapter 13 · Answer Keys</dc:title>
  <dc:subject>Income Taxes</dc:subject>
  <cp:category>Student Book</cp:category>
</cp:coreProperties>
</file>