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officedocument.wordprocessingml.numbering+xml" PartName="/word/numbering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package.core-properties+xml" PartName="/docProps/cor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14.1 · Answer Key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What is a lease? · Leases · 30 items · keep this sheet separate from the handout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"/>
        <w:gridCol w:w="28"/>
        <w:gridCol w:w="5"/>
        <w:gridCol w:w="28"/>
        <w:gridCol w:w="5"/>
        <w:gridCol w:w="29"/>
      </w:tblGrid>
      <w:tr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lease term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One lease cost in operating expenses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Financing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Operating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Operating (part of the single payment)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Liability 346,510; ROU asset 346,510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lease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lessee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</w:tbl>
    <w:p/>
    <w:p>
      <w:pPr>
        <w:spacing w:before="110" w:after="50"/>
        <w:pBdr>
          <w:top w:val="single" w:sz="8" w:space="5" w:color="1F7A6A"/>
        </w:pBdr>
      </w:pPr>
      <w:r>
        <w:rPr>
          <w:b/>
          <w:bCs/>
          <w:color w:val="1F7A6A"/>
          <w:sz w:val="17"/>
          <w:szCs w:val="17"/>
        </w:rPr>
        <w:t xml:space="preserve">Why, where it is worth saying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9   </w:t>
      </w:r>
      <w:r>
        <w:rPr>
          <w:sz w:val="15"/>
          <w:szCs w:val="15"/>
        </w:rPr>
        <w:t xml:space="preserve">section 14.1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10   </w:t>
      </w:r>
      <w:r>
        <w:rPr>
          <w:sz w:val="15"/>
          <w:szCs w:val="15"/>
        </w:rPr>
        <w:t xml:space="preserve">section 14.1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11   </w:t>
      </w:r>
      <w:r>
        <w:rPr>
          <w:sz w:val="15"/>
          <w:szCs w:val="15"/>
        </w:rPr>
        <w:t xml:space="preserve">section 14.1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17   </w:t>
      </w:r>
      <w:r>
        <w:rPr>
          <w:sz w:val="15"/>
          <w:szCs w:val="15"/>
        </w:rPr>
        <w:t xml:space="preserve">An identified asset, controlled by Orontes, for a period.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18   </w:t>
      </w:r>
      <w:r>
        <w:rPr>
          <w:sz w:val="15"/>
          <w:szCs w:val="15"/>
        </w:rPr>
        <w:t xml:space="preserve">Include renewal periods reasonably certain to be used.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19   </w:t>
      </w:r>
      <w:r>
        <w:rPr>
          <w:sz w:val="15"/>
          <w:szCs w:val="15"/>
        </w:rPr>
        <w:t xml:space="preserve">None of the five criteria is met.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20   </w:t>
      </w:r>
      <w:r>
        <w:rPr>
          <w:sz w:val="15"/>
          <w:szCs w:val="15"/>
        </w:rPr>
        <w:t xml:space="preserve">Only non-PBEs may elect the risk-free rate.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21   </w:t>
      </w:r>
      <w:r>
        <w:rPr>
          <w:sz w:val="15"/>
          <w:szCs w:val="15"/>
        </w:rPr>
        <w:t xml:space="preserve">Finance-lease principal is repayment of a liability.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22   </w:t>
      </w:r>
      <w:r>
        <w:rPr>
          <w:sz w:val="15"/>
          <w:szCs w:val="15"/>
        </w:rPr>
        <w:t xml:space="preserve">ASC 842 classifies all operating-lease payments as operating.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23   </w:t>
      </w:r>
      <w:r>
        <w:rPr>
          <w:sz w:val="15"/>
          <w:szCs w:val="15"/>
        </w:rPr>
        <w:t xml:space="preserve">Only leases of 12 months or less can be exempted.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24   </w:t>
      </w:r>
      <w:r>
        <w:rPr>
          <w:sz w:val="15"/>
          <w:szCs w:val="15"/>
        </w:rPr>
        <w:t xml:space="preserve">Use alone does not create control of an identified asset.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28   </w:t>
      </w:r>
      <w:r>
        <w:rPr>
          <w:sz w:val="15"/>
          <w:szCs w:val="15"/>
        </w:rPr>
        <w:t xml:space="preserve">Only reasonably certain renewals are in the term.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29   </w:t>
      </w:r>
      <w:r>
        <w:rPr>
          <w:sz w:val="15"/>
          <w:szCs w:val="15"/>
        </w:rPr>
        <w:t xml:space="preserve">No sale occurs when the leaseback is a finance lease.</w:t>
      </w:r>
    </w:p>
    <w:p/>
    <w:p>
      <w:pPr>
        <w:sectPr>
          <w:headerReference w:type="default" r:id="rIdHdr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14.2 · Answer Key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Finance or operating? The five criteria · Leases · 24 items · keep this sheet separate from the handout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"/>
        <w:gridCol w:w="28"/>
        <w:gridCol w:w="5"/>
        <w:gridCol w:w="28"/>
        <w:gridCol w:w="5"/>
        <w:gridCol w:w="29"/>
      </w:tblGrid>
      <w:tr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operating lease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finance lease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lease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30,000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53,498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53,498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operating activities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</w:tbl>
    <w:p/>
    <w:p>
      <w:pPr>
        <w:spacing w:before="110" w:after="50"/>
        <w:pBdr>
          <w:top w:val="single" w:sz="8" w:space="5" w:color="1F7A6A"/>
        </w:pBdr>
      </w:pPr>
      <w:r>
        <w:rPr>
          <w:b/>
          <w:bCs/>
          <w:color w:val="1F7A6A"/>
          <w:sz w:val="17"/>
          <w:szCs w:val="17"/>
        </w:rPr>
        <w:t xml:space="preserve">Why, where it is worth saying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9   </w:t>
      </w:r>
      <w:r>
        <w:rPr>
          <w:sz w:val="15"/>
          <w:szCs w:val="15"/>
        </w:rPr>
        <w:t xml:space="preserve">section 14.2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10   </w:t>
      </w:r>
      <w:r>
        <w:rPr>
          <w:sz w:val="15"/>
          <w:szCs w:val="15"/>
        </w:rPr>
        <w:t xml:space="preserve">section 14.2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11   </w:t>
      </w:r>
      <w:r>
        <w:rPr>
          <w:sz w:val="15"/>
          <w:szCs w:val="15"/>
        </w:rPr>
        <w:t xml:space="preserve">section 14.2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16   </w:t>
      </w:r>
      <w:r>
        <w:rPr>
          <w:sz w:val="15"/>
          <w:szCs w:val="15"/>
        </w:rPr>
        <w:t xml:space="preserve">Meeting any one criterion is enough; the press meets two.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17   </w:t>
      </w:r>
      <w:r>
        <w:rPr>
          <w:sz w:val="15"/>
          <w:szCs w:val="15"/>
        </w:rPr>
        <w:t xml:space="preserve">The present value of the five payments at 6%.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18   </w:t>
      </w:r>
      <w:r>
        <w:rPr>
          <w:sz w:val="15"/>
          <w:szCs w:val="15"/>
        </w:rPr>
        <w:t xml:space="preserve">Classification does not change.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19   </w:t>
      </w:r>
      <w:r>
        <w:rPr>
          <w:sz w:val="15"/>
          <w:szCs w:val="15"/>
        </w:rPr>
        <w:t xml:space="preserve">Failing one test does not matter if another is met.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20   </w:t>
      </w:r>
      <w:r>
        <w:rPr>
          <w:sz w:val="15"/>
          <w:szCs w:val="15"/>
        </w:rPr>
        <w:t xml:space="preserve">Classification depends on the criteria, not the asset type.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23   </w:t>
      </w:r>
      <w:r>
        <w:rPr>
          <w:sz w:val="15"/>
          <w:szCs w:val="15"/>
        </w:rPr>
        <w:t xml:space="preserve">This is a service contract; no asset is controlled.</w:t>
      </w:r>
    </w:p>
    <w:p/>
    <w:p>
      <w:pPr>
        <w:sectPr>
          <w:headerReference w:type="default" r:id="rIdHdr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14.3 · Answer Key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Initial measurement · Leases · 21 items · keep this sheet separate from the handout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"/>
        <w:gridCol w:w="28"/>
        <w:gridCol w:w="5"/>
        <w:gridCol w:w="28"/>
        <w:gridCol w:w="5"/>
        <w:gridCol w:w="29"/>
      </w:tblGrid>
      <w:tr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lease liability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right-of-use asset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lease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lessee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</w:tbl>
    <w:p/>
    <w:p>
      <w:pPr>
        <w:spacing w:before="110" w:after="50"/>
        <w:pBdr>
          <w:top w:val="single" w:sz="8" w:space="5" w:color="1F7A6A"/>
        </w:pBdr>
      </w:pPr>
      <w:r>
        <w:rPr>
          <w:b/>
          <w:bCs/>
          <w:color w:val="1F7A6A"/>
          <w:sz w:val="17"/>
          <w:szCs w:val="17"/>
        </w:rPr>
        <w:t xml:space="preserve">Why, where it is worth saying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5   </w:t>
      </w:r>
      <w:r>
        <w:rPr>
          <w:sz w:val="15"/>
          <w:szCs w:val="15"/>
        </w:rPr>
        <w:t xml:space="preserve">section 14.3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6   </w:t>
      </w:r>
      <w:r>
        <w:rPr>
          <w:sz w:val="15"/>
          <w:szCs w:val="15"/>
        </w:rPr>
        <w:t xml:space="preserve">section 14.3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7   </w:t>
      </w:r>
      <w:r>
        <w:rPr>
          <w:sz w:val="15"/>
          <w:szCs w:val="15"/>
        </w:rPr>
        <w:t xml:space="preserve">section 14.3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8   </w:t>
      </w:r>
      <w:r>
        <w:rPr>
          <w:sz w:val="15"/>
          <w:szCs w:val="15"/>
        </w:rPr>
        <w:t xml:space="preserve">section 14.3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9   </w:t>
      </w:r>
      <w:r>
        <w:rPr>
          <w:sz w:val="15"/>
          <w:szCs w:val="15"/>
        </w:rPr>
        <w:t xml:space="preserve">Without an identified asset there is no lease.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10   </w:t>
      </w:r>
      <w:r>
        <w:rPr>
          <w:sz w:val="15"/>
          <w:szCs w:val="15"/>
        </w:rPr>
        <w:t xml:space="preserve">About 78% of the life meets the major-part test; one criterion is enough.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11   </w:t>
      </w:r>
      <w:r>
        <w:rPr>
          <w:sz w:val="15"/>
          <w:szCs w:val="15"/>
        </w:rPr>
        <w:t xml:space="preserve">A reasonably certain purchase option is one of the five criteria.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12   </w:t>
      </w:r>
      <w:r>
        <w:rPr>
          <w:sz w:val="15"/>
          <w:szCs w:val="15"/>
        </w:rPr>
        <w:t xml:space="preserve">Substance, tested by the criteria, decides.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13   </w:t>
      </w:r>
      <w:r>
        <w:rPr>
          <w:sz w:val="15"/>
          <w:szCs w:val="15"/>
        </w:rPr>
        <w:t xml:space="preserve">The exemption keeps short-term leases off the balance sheet.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14   </w:t>
      </w:r>
      <w:r>
        <w:rPr>
          <w:sz w:val="15"/>
          <w:szCs w:val="15"/>
        </w:rPr>
        <w:t xml:space="preserve">A finance leaseback means control has not passed.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15   </w:t>
      </w:r>
      <w:r>
        <w:rPr>
          <w:sz w:val="15"/>
          <w:szCs w:val="15"/>
        </w:rPr>
        <w:t xml:space="preserve">The low-value exemption is IFRS 16 only.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17   </w:t>
      </w:r>
      <w:r>
        <w:rPr>
          <w:sz w:val="15"/>
          <w:szCs w:val="15"/>
        </w:rPr>
        <w:t xml:space="preserve">Legal labels do not decide the class.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18   </w:t>
      </w:r>
      <w:r>
        <w:rPr>
          <w:sz w:val="15"/>
          <w:szCs w:val="15"/>
        </w:rPr>
        <w:t xml:space="preserve">The leaseback is a finance lease.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19   </w:t>
      </w:r>
      <w:r>
        <w:rPr>
          <w:sz w:val="15"/>
          <w:szCs w:val="15"/>
        </w:rPr>
        <w:t xml:space="preserve">Sales-based variable payments are expensed when incurred.</w:t>
      </w:r>
    </w:p>
    <w:p/>
    <w:p>
      <w:pPr>
        <w:sectPr>
          <w:headerReference w:type="default" r:id="rIdHdr3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14.4 · Answer Key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Subsequent measurement: two expense patterns · and 1 more section · Leases · 31 items · keep this sheet separate from the handout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"/>
        <w:gridCol w:w="28"/>
        <w:gridCol w:w="5"/>
        <w:gridCol w:w="28"/>
        <w:gridCol w:w="5"/>
        <w:gridCol w:w="29"/>
      </w:tblGrid>
      <w:tr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lease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short-term lease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lessee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finance lease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lease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right-of-use asset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operating lease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/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finance lease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/>
            </w:r>
          </w:p>
        </w:tc>
      </w:tr>
    </w:tbl>
    <w:p/>
    <w:p>
      <w:pPr>
        <w:spacing w:before="110" w:after="50"/>
        <w:pBdr>
          <w:top w:val="single" w:sz="8" w:space="5" w:color="1F7A6A"/>
        </w:pBdr>
      </w:pPr>
      <w:r>
        <w:rPr>
          <w:b/>
          <w:bCs/>
          <w:color w:val="1F7A6A"/>
          <w:sz w:val="17"/>
          <w:szCs w:val="17"/>
        </w:rPr>
        <w:t xml:space="preserve">Why, where it is worth saying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9   </w:t>
      </w:r>
      <w:r>
        <w:rPr>
          <w:sz w:val="15"/>
          <w:szCs w:val="15"/>
        </w:rPr>
        <w:t xml:space="preserve">section 14.4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10   </w:t>
      </w:r>
      <w:r>
        <w:rPr>
          <w:sz w:val="15"/>
          <w:szCs w:val="15"/>
        </w:rPr>
        <w:t xml:space="preserve">section 14.4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11   </w:t>
      </w:r>
      <w:r>
        <w:rPr>
          <w:sz w:val="15"/>
          <w:szCs w:val="15"/>
        </w:rPr>
        <w:t xml:space="preserve">section 14.4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12   </w:t>
      </w:r>
      <w:r>
        <w:rPr>
          <w:sz w:val="15"/>
          <w:szCs w:val="15"/>
        </w:rPr>
        <w:t xml:space="preserve">section 14.4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13   </w:t>
      </w:r>
      <w:r>
        <w:rPr>
          <w:sz w:val="15"/>
          <w:szCs w:val="15"/>
        </w:rPr>
        <w:t xml:space="preserve">Liability + initial direct costs − incentives.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14   </w:t>
      </w:r>
      <w:r>
        <w:rPr>
          <w:sz w:val="15"/>
          <w:szCs w:val="15"/>
        </w:rPr>
        <w:t xml:space="preserve">Index-based payments are included at the current index.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15   </w:t>
      </w:r>
      <w:r>
        <w:rPr>
          <w:sz w:val="15"/>
          <w:szCs w:val="15"/>
        </w:rPr>
        <w:t xml:space="preserve">Interest falls as the liability falls: front-loaded.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16   </w:t>
      </w:r>
      <w:r>
        <w:rPr>
          <w:sz w:val="15"/>
          <w:szCs w:val="15"/>
        </w:rPr>
        <w:t xml:space="preserve">$100,000 + $8,000 interest − $30,000.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17   </w:t>
      </w:r>
      <w:r>
        <w:rPr>
          <w:sz w:val="15"/>
          <w:szCs w:val="15"/>
        </w:rPr>
        <w:t xml:space="preserve">Index changes alone do not trigger remeasurement.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18   </w:t>
      </w:r>
      <w:r>
        <w:rPr>
          <w:sz w:val="15"/>
          <w:szCs w:val="15"/>
        </w:rPr>
        <w:t xml:space="preserve">Operating leases show one combined lease cost.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23   </w:t>
      </w:r>
      <w:r>
        <w:rPr>
          <w:sz w:val="15"/>
          <w:szCs w:val="15"/>
        </w:rPr>
        <w:t xml:space="preserve">section 14.6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24   </w:t>
      </w:r>
      <w:r>
        <w:rPr>
          <w:sz w:val="15"/>
          <w:szCs w:val="15"/>
        </w:rPr>
        <w:t xml:space="preserve">section 14.6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25   </w:t>
      </w:r>
      <w:r>
        <w:rPr>
          <w:sz w:val="15"/>
          <w:szCs w:val="15"/>
        </w:rPr>
        <w:t xml:space="preserve">section 14.6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26   </w:t>
      </w:r>
      <w:r>
        <w:rPr>
          <w:sz w:val="15"/>
          <w:szCs w:val="15"/>
        </w:rPr>
        <w:t xml:space="preserve">section 14.6</w:t>
      </w:r>
    </w:p>
    <w:p/>
    <w:p>
      <w:pPr>
        <w:sectPr>
          <w:headerReference w:type="default" r:id="rIdHdr4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sectPr>
      <w:headerReference w:type="default" r:id="rIdHdr4"/>
      <w:pgSz w:w="11906" w:h="16838" w:orient="portrait"/>
      <w:pgMar w:top="1180" w:right="1000" w:bottom="900" w:left="1000" w:header="708" w:footer="708" w:gutter="0"/>
      <w:docGrid w:linePitch="360"/>
      <w:pgNumTyp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14.1 · Answer Key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14.2 · Answer Key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14.3 · Answer Key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14.4 · Answer Key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efaultTabStop w:val="72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styles" Target="styles.xml" Type="http://schemas.openxmlformats.org/officeDocument/2006/relationships/styles"/><Relationship Id="rIdnumbering" Target="numbering.xml" Type="http://schemas.openxmlformats.org/officeDocument/2006/relationships/numbering"/><Relationship Id="rIdfontTable" Target="fontTable.xml" Type="http://schemas.openxmlformats.org/officeDocument/2006/relationships/fontTable"/><Relationship Id="rIdsettings" Target="settings.xml" Type="http://schemas.openxmlformats.org/officeDocument/2006/relationships/settings"/><Relationship Id="rIdHdr1" Target="header1.xml" Type="http://schemas.openxmlformats.org/officeDocument/2006/relationships/header"/><Relationship Id="rIdHdr2" Target="header2.xml" Type="http://schemas.openxmlformats.org/officeDocument/2006/relationships/header"/><Relationship Id="rIdHdr3" Target="header3.xml" Type="http://schemas.openxmlformats.org/officeDocument/2006/relationships/header"/><Relationship Id="rIdHdr4" Target="header4.xml" Type="http://schemas.openxmlformats.org/officeDocument/2006/relationships/header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CMA Part 1 · Section A · Chapter 14 · Answer Keys</dc:title>
  <dc:subject>Leases</dc:subject>
  <cp:category>Student Book</cp:category>
</cp:coreProperties>
</file>