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Comprehensive income and reclassification · Measuring Income: Gains, Losses, Comprehensive Income and Discontinued Operations · 35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Full treatment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Contrast IFRS 5 and IFRS OCI rules.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comprehensive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gain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reclassification adjustment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loss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15.3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15.3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15.3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15.3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Selling equipment is peripheral to Orontes's main activities.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The cost is spread over the periods that benefit.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Advertising is a period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Leaving a major geographic area is a strategic shift.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All three conditions are needed.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All periods are shown on the same basis.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Most gains and losses are in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Extraordinary items no longer exist.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33   </w:t>
      </w:r>
      <w:r>
        <w:rPr>
          <w:sz w:val="15"/>
          <w:szCs w:val="15"/>
        </w:rPr>
        <w:t xml:space="preserve">Capitalizing development costs after feasibility is an IFRS rule.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Is it a discontinued operation? · Measuring Income: Gains, Losses, Comprehensive Income and Discontinued Operations · 34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Discontinued operations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Discontinued operations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Other comprehensive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150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3,660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discontinued operation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12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strategic shift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3,672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loss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Continuing operations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15.4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15.4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15.4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Losses on operating assets are usually operating expenses.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Holding gain $2,000 minus the reclassification of $10,000.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Carrying amount $3,180,000 minus fair value less cost to sell $3,000,000.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Prepaid rent benefits the next period too.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Realized gains on equipment are in net income.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Measuring Income: exam practice · Measuring Income: Gains, Losses, Comprehensive Income and Discontinued Operations · 36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a gain of $60,000 in other income  Gains are shown net.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Unusual items stay in continuing operations.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This is the definition in the conceptual framework.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Commissions are directly linked to the related revenue.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ASC 730 requires R&amp;D to be expensed.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The cost is allocated to the periods that benefit.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Comparative years are still presented.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Revaluation surplus is not recycled.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Selling olive oil is Orontes's main activity.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Translation adjustments are OCI items.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The gain moves out of AOCI into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Net income plus OCI of $30,000.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Reclassification ensures each gain is counted once.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All six criteria must be met, not only board approval.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15 · Answer Keys</dc:title>
  <dc:subject>Measuring Income: Gains, Losses, Comprehensive Income and Discontinued Operations</dc:subject>
  <cp:category>Student Book</cp:category>
</cp:coreProperties>
</file>