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15.1 · Comprehensive income and reclassification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CMA Part 1 · Section A · Chapter 15 · from section Measuring Income: Gains, Losses, Comprehensive Income and Discontinued Operations of the book · 3 pages, answer key on a separate sheet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1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gain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مجموعة الاستبعاد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loss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القيمة العادلة ناقصاً تكاليف البيع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comprehensive income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الدخل الشامل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reclassification adjustment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العمليات غير المستمرة (المتوقفة)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discontinued operation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مكسب (مكاسب)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held for sale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تعديل إعادة التصنيف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disposal group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خسارة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fair value less cost to sell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محتفظ به للبيع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2 · fill in the spaces   </w:t>
      </w:r>
      <w:r>
        <w:rPr>
          <w:b/>
          <w:bCs/>
          <w:sz w:val="19"/>
          <w:szCs w:val="19"/>
        </w:rPr>
        <w:t xml:space="preserve">Write the missing term in each numbered space. Every sentence is from section 15.3 of the book.</w:t>
      </w:r>
    </w:p>
    <w:tbl>
      <w:tblPr>
        <w:tblW w:type="pct" w:w="100%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100"/>
      </w:tblGrid>
      <w:tr>
        <w:tc>
          <w:tcPr>
            <w:shd w:fill="FBFAF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23265A"/>
                <w:sz w:val="15"/>
                <w:szCs w:val="15"/>
              </w:rPr>
              <w:t xml:space="preserve">WORD BANK</w:t>
            </w:r>
          </w:p>
          <w:p>
            <w:pPr>
              <w:spacing w:after="50" w:line="280" w:lineRule="auto"/>
            </w:pPr>
            <w:r>
              <w:rPr>
                <w:b/>
                <w:bCs/>
                <w:sz w:val="20"/>
                <w:szCs w:val="20"/>
              </w:rPr>
              <w:t xml:space="preserve">comprehensive income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discontinued operation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disposal group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gain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loss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period cost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reclassification adjustment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strategic shift</w:t>
            </w:r>
          </w:p>
          <w:p>
            <w:r>
              <w:rPr>
                <w:color w:val="6B7280"/>
                <w:sz w:val="17"/>
                <w:szCs w:val="17"/>
              </w:rPr>
              <w:t xml:space="preserve">Not every word is used.</w:t>
            </w:r>
          </w:p>
        </w:tc>
      </w:tr>
    </w:tbl>
    <w:p/>
    <w:p>
      <w:pPr>
        <w:spacing w:before="20" w:after="70" w:line="272" w:lineRule="auto"/>
      </w:pPr>
      <w:r>
        <w:rPr>
          <w:sz w:val="20"/>
          <w:szCs w:val="20"/>
        </w:rPr>
        <w:t xml:space="preserve">Comprehensive income is net income plus other </w:t>
      </w:r>
      <w:r>
        <w:rPr>
          <w:vertAlign w:val="superscript"/>
          <w:color w:val="353A7C"/>
          <w:b/>
          <w:sz w:val="15"/>
        </w:rPr>
        <w:t>9</w:t>
      </w:r>
      <w:r>
        <w:rPr>
          <w:u w:val="single"/>
          <w:sz w:val="20"/>
          <w:szCs w:val="20"/>
        </w:rPr>
        <w:t xml:space="preserve">                                 </w:t>
      </w:r>
      <w:r>
        <w:rPr>
          <w:sz w:val="20"/>
          <w:szCs w:val="20"/>
        </w:rPr>
        <w:t xml:space="preserve">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When an OCI item is realized, for example when an AFS bond is sold, the </w:t>
      </w:r>
      <w:r>
        <w:rPr>
          <w:vertAlign w:val="superscript"/>
          <w:color w:val="353A7C"/>
          <w:b/>
          <w:sz w:val="15"/>
        </w:rPr>
        <w:t>10</w:t>
      </w:r>
      <w:r>
        <w:rPr>
          <w:u w:val="single"/>
          <w:sz w:val="20"/>
          <w:szCs w:val="20"/>
        </w:rPr>
        <w:t xml:space="preserve">         </w:t>
      </w:r>
      <w:r>
        <w:rPr>
          <w:sz w:val="20"/>
          <w:szCs w:val="20"/>
        </w:rPr>
        <w:t xml:space="preserve"> moves into net income.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At the same time a </w:t>
      </w:r>
      <w:r>
        <w:rPr>
          <w:vertAlign w:val="superscript"/>
          <w:color w:val="353A7C"/>
          <w:b/>
          <w:sz w:val="15"/>
        </w:rPr>
        <w:t>11</w:t>
      </w:r>
      <w:r>
        <w:rPr>
          <w:u w:val="single"/>
          <w:sz w:val="20"/>
          <w:szCs w:val="20"/>
        </w:rPr>
        <w:t xml:space="preserve">                                           </w:t>
      </w:r>
      <w:r>
        <w:rPr>
          <w:sz w:val="20"/>
          <w:szCs w:val="20"/>
        </w:rPr>
        <w:t xml:space="preserve"> removes it from OCI.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OCI for 2027 shows the holding gain of $2,000 and a reclassification of −$10,000: a net OCI </w:t>
      </w:r>
      <w:r>
        <w:rPr>
          <w:vertAlign w:val="superscript"/>
          <w:color w:val="353A7C"/>
          <w:b/>
          <w:sz w:val="15"/>
        </w:rPr>
        <w:t>12</w:t>
      </w:r>
      <w:r>
        <w:rPr>
          <w:u w:val="single"/>
          <w:sz w:val="20"/>
          <w:szCs w:val="20"/>
        </w:rPr>
        <w:t xml:space="preserve">         </w:t>
      </w:r>
      <w:r>
        <w:rPr>
          <w:sz w:val="20"/>
          <w:szCs w:val="20"/>
        </w:rPr>
        <w:t xml:space="preserve"> of $8,000 before tax, $6,000 after tax.</w:t>
      </w:r>
    </w:p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1</w:t>
      </w:r>
      <w:r>
        <w:rPr>
          <w:color w:val="FFFFFF"/>
          <w:sz w:val="15"/>
          <w:szCs w:val="15"/>
        </w:rPr>
        <w:t xml:space="preserve">   ·   items 1 to 12   ·   </w:t>
      </w:r>
      <w:r>
        <w:rPr>
          <w:color w:val="FFFFFF"/>
          <w:sz w:val="15"/>
          <w:szCs w:val="15"/>
        </w:rPr>
        <w:t xml:space="preserve">fewer than 9 right: </w:t>
      </w:r>
      <w:r>
        <w:rPr>
          <w:b/>
          <w:bCs/>
          <w:color w:val="FFFFFF"/>
          <w:sz w:val="15"/>
          <w:szCs w:val="15"/>
        </w:rPr>
        <w:t xml:space="preserve">read section 15.1 again before page 2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3 · fill in the table   </w:t>
      </w:r>
      <w:r>
        <w:rPr>
          <w:b/>
          <w:bCs/>
          <w:sz w:val="19"/>
          <w:szCs w:val="19"/>
        </w:rPr>
        <w:t xml:space="preserve">Complete the table. The first row is done; some cells are a word and some a figure.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6"/>
        <w:gridCol w:w="18"/>
        <w:gridCol w:w="18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LOS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After this chapter you can …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Level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Depth here</w:t>
            </w:r>
          </w:p>
        </w:tc>
      </w:tr>
      <w:tr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A.2.aa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Define gains and losses and show where they are presented.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B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Full treatment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A.2.cc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Explain the three expense recognition practices.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13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14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A.2.dd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Define and calculate comprehensive income, including reclassification adjustments.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Full treatment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A.2.ee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Identify discontinued operations, apply the held-for-sale rules and present the results.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Full treatment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A.2.ff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Preview (full in Chapter 17)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4 · classification   </w:t>
      </w:r>
      <w:r>
        <w:rPr>
          <w:b/>
          <w:bCs/>
          <w:sz w:val="19"/>
          <w:szCs w:val="19"/>
        </w:rPr>
        <w:t xml:space="preserve">Category? Write one letter beside each item:  C = Continuing operations · D = Discontinued operations · O = Other comprehensive income.</w:t>
      </w:r>
    </w:p>
    <w:p>
      <w:pPr>
        <w:spacing w:before="70" w:after="60" w:line="300" w:lineRule="auto"/>
        <w:ind w:left="200"/>
      </w:pPr>
      <w:r>
        <w:rPr>
          <w:b/>
          <w:bCs/>
          <w:color w:val="353A7C"/>
          <w:sz w:val="18"/>
          <w:szCs w:val="18"/>
        </w:rPr>
        <w:t xml:space="preserve">18  </w:t>
      </w:r>
      <w:r>
        <w:rPr>
          <w:sz w:val="18"/>
          <w:szCs w:val="18"/>
        </w:rPr>
        <w:t xml:space="preserve">Gain on sale of a warehouse  </w:t>
      </w:r>
      <w:r>
        <w:rPr>
          <w:u w:val="single"/>
          <w:sz w:val="18"/>
          <w:szCs w:val="18"/>
        </w:rPr>
        <w:t xml:space="preserve">     </w:t>
      </w:r>
      <w:r>
        <w:rPr>
          <w:sz w:val="18"/>
          <w:szCs w:val="18"/>
        </w:rPr>
        <w:t xml:space="preserve">      </w:t>
      </w:r>
      <w:r>
        <w:rPr>
          <w:b/>
          <w:bCs/>
          <w:color w:val="353A7C"/>
          <w:sz w:val="18"/>
          <w:szCs w:val="18"/>
        </w:rPr>
        <w:t xml:space="preserve">19  </w:t>
      </w:r>
      <w:r>
        <w:rPr>
          <w:sz w:val="18"/>
          <w:szCs w:val="18"/>
        </w:rPr>
        <w:t xml:space="preserve">Lawsuit settlement loss  </w:t>
      </w:r>
      <w:r>
        <w:rPr>
          <w:u w:val="single"/>
          <w:sz w:val="18"/>
          <w:szCs w:val="18"/>
        </w:rPr>
        <w:t xml:space="preserve">     </w:t>
      </w:r>
      <w:r>
        <w:rPr>
          <w:sz w:val="18"/>
          <w:szCs w:val="18"/>
        </w:rPr>
        <w:t xml:space="preserve">      </w:t>
      </w:r>
      <w:r>
        <w:rPr>
          <w:b/>
          <w:bCs/>
          <w:color w:val="353A7C"/>
          <w:sz w:val="18"/>
          <w:szCs w:val="18"/>
        </w:rPr>
        <w:t xml:space="preserve">20  </w:t>
      </w:r>
      <w:r>
        <w:rPr>
          <w:sz w:val="18"/>
          <w:szCs w:val="18"/>
        </w:rPr>
        <w:t xml:space="preserve">Dry-foods operating loss  </w:t>
      </w:r>
      <w:r>
        <w:rPr>
          <w:u w:val="single"/>
          <w:sz w:val="18"/>
          <w:szCs w:val="18"/>
        </w:rPr>
        <w:t xml:space="preserve">     </w:t>
      </w:r>
      <w:r>
        <w:rPr>
          <w:sz w:val="18"/>
          <w:szCs w:val="18"/>
        </w:rPr>
        <w:t xml:space="preserve">      </w:t>
      </w:r>
      <w:r>
        <w:rPr>
          <w:b/>
          <w:bCs/>
          <w:color w:val="353A7C"/>
          <w:sz w:val="18"/>
          <w:szCs w:val="18"/>
        </w:rPr>
        <w:t xml:space="preserve">21  </w:t>
      </w:r>
      <w:r>
        <w:rPr>
          <w:sz w:val="18"/>
          <w:szCs w:val="18"/>
        </w:rPr>
        <w:t xml:space="preserve">Dry-foods gain on sale  </w:t>
      </w:r>
      <w:r>
        <w:rPr>
          <w:u w:val="single"/>
          <w:sz w:val="18"/>
          <w:szCs w:val="18"/>
        </w:rPr>
        <w:t xml:space="preserve">     </w:t>
      </w:r>
      <w:r>
        <w:rPr>
          <w:sz w:val="18"/>
          <w:szCs w:val="18"/>
        </w:rPr>
        <w:t xml:space="preserve">      </w:t>
      </w:r>
      <w:r>
        <w:rPr>
          <w:b/>
          <w:bCs/>
          <w:color w:val="353A7C"/>
          <w:sz w:val="18"/>
          <w:szCs w:val="18"/>
        </w:rPr>
        <w:t xml:space="preserve">22  </w:t>
      </w:r>
      <w:r>
        <w:rPr>
          <w:sz w:val="18"/>
          <w:szCs w:val="18"/>
        </w:rPr>
        <w:t xml:space="preserve">AFS holding gain  </w:t>
      </w:r>
      <w:r>
        <w:rPr>
          <w:u w:val="single"/>
          <w:sz w:val="18"/>
          <w:szCs w:val="18"/>
        </w:rPr>
        <w:t xml:space="preserve">     </w:t>
      </w:r>
    </w:p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2</w:t>
      </w:r>
      <w:r>
        <w:rPr>
          <w:color w:val="FFFFFF"/>
          <w:sz w:val="15"/>
          <w:szCs w:val="15"/>
        </w:rPr>
        <w:t xml:space="preserve">   ·   items 13 to 22   ·   </w:t>
      </w:r>
      <w:r>
        <w:rPr>
          <w:color w:val="FFFFFF"/>
          <w:sz w:val="15"/>
          <w:szCs w:val="15"/>
        </w:rPr>
        <w:t xml:space="preserve">fewer than 7 right: </w:t>
      </w:r>
      <w:r>
        <w:rPr>
          <w:b/>
          <w:bCs/>
          <w:color w:val="FFFFFF"/>
          <w:sz w:val="15"/>
          <w:szCs w:val="15"/>
        </w:rPr>
        <w:t xml:space="preserve">redo page 2 before page 3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5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Which item is a gain rather than revenue for Orontes?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The excess of proceeds over carrying amount when it sells an old oven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Sales of olive oil to supermarkets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Fees for maintaining dispensers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Sales of fruit juices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24.  </w:t>
      </w:r>
      <w:r>
        <w:rPr>
          <w:sz w:val="19"/>
          <w:szCs w:val="19"/>
        </w:rPr>
        <w:t xml:space="preserve">Depreciation of the bottling line is an example of which expense recognition approach?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Cause and effect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Systematic and rational allocation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Immediate recognition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Cash basis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25.  </w:t>
      </w:r>
      <w:r>
        <w:rPr>
          <w:sz w:val="19"/>
          <w:szCs w:val="19"/>
        </w:rPr>
        <w:t xml:space="preserve">Orontes spends $200,000 on a TV advertising campaign that it expects to raise sales next year. The cost is: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capitalized and amortized over next year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added to inventory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expensed when incurred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deferred until the sales occur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26.  </w:t>
      </w:r>
      <w:r>
        <w:rPr>
          <w:sz w:val="19"/>
          <w:szCs w:val="19"/>
        </w:rPr>
        <w:t xml:space="preserve">Which disposal is a discontinued operation?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Selling all operations in the company's only foreign country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Closing one of twelve shops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Selling an old delivery van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Stopping one small product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27.  </w:t>
      </w:r>
      <w:r>
        <w:rPr>
          <w:sz w:val="19"/>
          <w:szCs w:val="19"/>
        </w:rPr>
        <w:t xml:space="preserve">What does ASC 205-20 require for a disposal to be a discontinued operation?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Any sale of assets above 10% of total assets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 component, a strategic shift with a major effect, and a sale, abandonment, spin-off or held-for-sale status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Only board approval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 loss on disposal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28.  </w:t>
      </w:r>
      <w:r>
        <w:rPr>
          <w:sz w:val="19"/>
          <w:szCs w:val="19"/>
        </w:rPr>
        <w:t xml:space="preserve">A company reports a discontinued operation in 2027. How does it present the 2026 comparative income statement?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It leaves 2026 unchanged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It reclassifies the component's 2026 results into discontinued operations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It removes 2026 from the statements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It restates 2026 retained earnings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6 · true or false   </w:t>
      </w:r>
      <w:r>
        <w:rPr>
          <w:b/>
          <w:bCs/>
          <w:sz w:val="19"/>
          <w:szCs w:val="19"/>
        </w:rPr>
        <w:t xml:space="preserve">Ring T or F for each statement.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82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Statement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True or false?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29.  </w:t>
            </w:r>
            <w:r>
              <w:rPr>
                <w:sz w:val="18"/>
                <w:szCs w:val="18"/>
              </w:rPr>
              <w:t xml:space="preserve">They are always shown in OCI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30.  </w:t>
            </w:r>
            <w:r>
              <w:rPr>
                <w:sz w:val="18"/>
                <w:szCs w:val="18"/>
              </w:rPr>
              <w:t xml:space="preserve">Net income $10,000 plus OCI $(8,000): only the 2027 increase in value.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31.  </w:t>
            </w:r>
            <w:r>
              <w:rPr>
                <w:sz w:val="18"/>
                <w:szCs w:val="18"/>
              </w:rPr>
              <w:t xml:space="preserve">The cost is allocated to the periods that benefit.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32.  </w:t>
            </w:r>
            <w:r>
              <w:rPr>
                <w:sz w:val="18"/>
                <w:szCs w:val="18"/>
              </w:rPr>
              <w:t xml:space="preserve">as an extraordinary item, net of tax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33.  </w:t>
            </w:r>
            <w:r>
              <w:rPr>
                <w:sz w:val="18"/>
                <w:szCs w:val="18"/>
              </w:rPr>
              <w:t xml:space="preserve">capitalized once the recipe is technically feasible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34.  </w:t>
            </w:r>
            <w:r>
              <w:rPr>
                <w:sz w:val="18"/>
                <w:szCs w:val="18"/>
              </w:rPr>
              <w:t xml:space="preserve">ASC 730 requires R&amp;D to be expensed.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35.  </w:t>
            </w:r>
            <w:r>
              <w:rPr>
                <w:sz w:val="18"/>
                <w:szCs w:val="18"/>
              </w:rPr>
              <w:t xml:space="preserve">Holding gain $2,000 minus the reclassification of $10,000.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3</w:t>
      </w:r>
      <w:r>
        <w:rPr>
          <w:color w:val="FFFFFF"/>
          <w:sz w:val="15"/>
          <w:szCs w:val="15"/>
        </w:rPr>
        <w:t xml:space="preserve">   ·   items 23 to 35   ·   </w:t>
      </w:r>
      <w:r>
        <w:rPr>
          <w:color w:val="FFFFFF"/>
          <w:sz w:val="15"/>
          <w:szCs w:val="15"/>
        </w:rPr>
        <w:t xml:space="preserve">fewer than 9 right: </w:t>
      </w:r>
      <w:r>
        <w:rPr>
          <w:b/>
          <w:bCs/>
          <w:color w:val="FFFFFF"/>
          <w:sz w:val="15"/>
          <w:szCs w:val="15"/>
        </w:rPr>
        <w:t xml:space="preserve">redo page 3 before you leave the handout</w:t>
      </w:r>
    </w:p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15.2 · Is it a discontinued operation?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CMA Part 1 · Section A · Chapter 15 · from section Measuring Income: Gains, Losses, Comprehensive Income and Discontinued Operations of the book · 3 pages, answer key on a separate sheet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1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gain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مجموعة الاستبعاد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loss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القيمة العادلة ناقصاً تكاليف البيع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comprehensive income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الدخل الشامل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reclassification adjustment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العمليات غير المستمرة (المتوقفة)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discontinued operation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مكسب (مكاسب)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held for sale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تعديل إعادة التصنيف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disposal group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خسارة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fair value less cost to sell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محتفظ به للبيع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2 · fill in the spaces   </w:t>
      </w:r>
      <w:r>
        <w:rPr>
          <w:b/>
          <w:bCs/>
          <w:sz w:val="19"/>
          <w:szCs w:val="19"/>
        </w:rPr>
        <w:t xml:space="preserve">Write the missing term in each numbered space. Every sentence is from section 15.4 of the book.</w:t>
      </w:r>
    </w:p>
    <w:tbl>
      <w:tblPr>
        <w:tblW w:type="pct" w:w="100%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100"/>
      </w:tblGrid>
      <w:tr>
        <w:tc>
          <w:tcPr>
            <w:shd w:fill="FBFAF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23265A"/>
                <w:sz w:val="15"/>
                <w:szCs w:val="15"/>
              </w:rPr>
              <w:t xml:space="preserve">WORD BANK</w:t>
            </w:r>
          </w:p>
          <w:p>
            <w:pPr>
              <w:spacing w:after="50" w:line="280" w:lineRule="auto"/>
            </w:pPr>
            <w:r>
              <w:rPr>
                <w:b/>
                <w:bCs/>
                <w:sz w:val="20"/>
                <w:szCs w:val="20"/>
              </w:rPr>
              <w:t xml:space="preserve">comprehensive income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discontinued operation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disposal group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loss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period cost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reclassification adjustment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strategic shift</w:t>
            </w:r>
          </w:p>
          <w:p>
            <w:r>
              <w:rPr>
                <w:color w:val="6B7280"/>
                <w:sz w:val="17"/>
                <w:szCs w:val="17"/>
              </w:rPr>
              <w:t xml:space="preserve">Not every word is used.</w:t>
            </w:r>
          </w:p>
        </w:tc>
      </w:tr>
    </w:tbl>
    <w:p/>
    <w:p>
      <w:pPr>
        <w:spacing w:before="20" w:after="70" w:line="272" w:lineRule="auto"/>
      </w:pPr>
      <w:r>
        <w:rPr>
          <w:sz w:val="20"/>
          <w:szCs w:val="20"/>
        </w:rPr>
        <w:t xml:space="preserve">A disposal is reported as a </w:t>
      </w:r>
      <w:r>
        <w:rPr>
          <w:vertAlign w:val="superscript"/>
          <w:color w:val="353A7C"/>
          <w:b/>
          <w:sz w:val="15"/>
        </w:rPr>
        <w:t>9</w:t>
      </w:r>
      <w:r>
        <w:rPr>
          <w:u w:val="single"/>
          <w:sz w:val="20"/>
          <w:szCs w:val="20"/>
        </w:rPr>
        <w:t xml:space="preserve">                                    </w:t>
      </w:r>
      <w:r>
        <w:rPr>
          <w:sz w:val="20"/>
          <w:szCs w:val="20"/>
        </w:rPr>
        <w:t xml:space="preserve"> only if three things are true.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Second, the disposal is a </w:t>
      </w:r>
      <w:r>
        <w:rPr>
          <w:vertAlign w:val="superscript"/>
          <w:color w:val="353A7C"/>
          <w:b/>
          <w:sz w:val="15"/>
        </w:rPr>
        <w:t>10</w:t>
      </w:r>
      <w:r>
        <w:rPr>
          <w:u w:val="single"/>
          <w:sz w:val="20"/>
          <w:szCs w:val="20"/>
        </w:rPr>
        <w:t xml:space="preserve">                         </w:t>
      </w:r>
      <w:r>
        <w:rPr>
          <w:sz w:val="20"/>
          <w:szCs w:val="20"/>
        </w:rPr>
        <w:t xml:space="preserve"> that has, or will have, a major effect on operations and results.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The gain or </w:t>
      </w:r>
      <w:r>
        <w:rPr>
          <w:vertAlign w:val="superscript"/>
          <w:color w:val="353A7C"/>
          <w:b/>
          <w:sz w:val="15"/>
        </w:rPr>
        <w:t>11</w:t>
      </w:r>
      <w:r>
        <w:rPr>
          <w:u w:val="single"/>
          <w:sz w:val="20"/>
          <w:szCs w:val="20"/>
        </w:rPr>
        <w:t xml:space="preserve">         </w:t>
      </w:r>
      <w:r>
        <w:rPr>
          <w:sz w:val="20"/>
          <w:szCs w:val="20"/>
        </w:rPr>
        <w:t xml:space="preserve"> stays in continuing operations, as for the Dubai oven.</w:t>
      </w:r>
    </w:p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3 · fill in the table   </w:t>
      </w:r>
      <w:r>
        <w:rPr>
          <w:b/>
          <w:bCs/>
          <w:sz w:val="19"/>
          <w:szCs w:val="19"/>
        </w:rPr>
        <w:t xml:space="preserve">Complete the table. The first row is done; some cells are a word and some a figure.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6"/>
        <w:gridCol w:w="54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Item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Category</w:t>
            </w:r>
          </w:p>
        </w:tc>
      </w:tr>
      <w:tr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Gain on sale of a warehouse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Continuing operations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Lawsuit settlement loss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12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Dry-foods operating loss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13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Dry-foods gain on sale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14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AFS holding gain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15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1</w:t>
      </w:r>
      <w:r>
        <w:rPr>
          <w:color w:val="FFFFFF"/>
          <w:sz w:val="15"/>
          <w:szCs w:val="15"/>
        </w:rPr>
        <w:t xml:space="preserve">   ·   items 1 to 15   ·   </w:t>
      </w:r>
      <w:r>
        <w:rPr>
          <w:color w:val="FFFFFF"/>
          <w:sz w:val="15"/>
          <w:szCs w:val="15"/>
        </w:rPr>
        <w:t xml:space="preserve">fewer than 11 right: </w:t>
      </w:r>
      <w:r>
        <w:rPr>
          <w:b/>
          <w:bCs/>
          <w:color w:val="FFFFFF"/>
          <w:sz w:val="15"/>
          <w:szCs w:val="15"/>
        </w:rPr>
        <w:t xml:space="preserve">read section 15.1 again before page 2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4 · multiple choice   </w:t>
      </w:r>
      <w:r>
        <w:rPr>
          <w:b/>
          <w:bCs/>
          <w:sz w:val="19"/>
          <w:szCs w:val="19"/>
        </w:rPr>
        <w:t xml:space="preserve">Ring one letter for each question. Everything the questions need is in the panel below.</w:t>
      </w:r>
    </w:p>
    <w:p>
      <w:pPr>
        <w:spacing w:before="110" w:after="30"/>
        <w:ind w:left="120"/>
        <w:shd w:fill="6D3F7E" w:val="clear"/>
      </w:pPr>
      <w:r>
        <w:rPr>
          <w:b/>
          <w:bCs/>
          <w:color w:val="FFFFFF"/>
          <w:sz w:val="14"/>
          <w:szCs w:val="14"/>
        </w:rPr>
        <w:t xml:space="preserve">DATA   </w:t>
      </w:r>
      <w:r>
        <w:rPr>
          <w:b/>
          <w:bCs/>
          <w:color w:val="FFFFFF"/>
          <w:sz w:val="15"/>
          <w:szCs w:val="15"/>
        </w:rPr>
        <w:t xml:space="preserve">The exhibit these questions use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25"/>
        <w:gridCol w:w="25"/>
        <w:gridCol w:w="25"/>
        <w:gridCol w:w="25"/>
      </w:tblGrid>
      <w:tr>
        <w:tc>
          <w:tcPr>
            <w:shd w:fill="F5F7FC" w:val="clear"/>
            <w:tcMar>
              <w:top w:type="dxa" w:w="12"/>
              <w:left w:type="dxa" w:w="72"/>
              <w:bottom w:type="dxa" w:w="12"/>
              <w:right w:type="dxa" w:w="72"/>
            </w:tcMar>
          </w:tcPr>
          <w:p>
            <w:r>
              <w:rPr>
                <w:b/>
                <w:bCs/>
                <w:color w:val="23265A"/>
                <w:sz w:val="16"/>
                <w:szCs w:val="16"/>
              </w:rPr>
              <w:t xml:space="preserve">Orontes, 2025 (whole USD)</w:t>
            </w:r>
          </w:p>
        </w:tc>
        <w:tc>
          <w:tcPr>
            <w:shd w:fill="F5F7FC" w:val="clear"/>
            <w:tcMar>
              <w:top w:type="dxa" w:w="12"/>
              <w:left w:type="dxa" w:w="72"/>
              <w:bottom w:type="dxa" w:w="12"/>
              <w:right w:type="dxa" w:w="72"/>
            </w:tcMar>
          </w:tcPr>
          <w:p>
            <w:r>
              <w:rPr>
                <w:b/>
                <w:bCs/>
                <w:color w:val="23265A"/>
                <w:sz w:val="16"/>
                <w:szCs w:val="16"/>
              </w:rPr>
              <w:t xml:space="preserve">Type</w:t>
            </w:r>
          </w:p>
        </w:tc>
        <w:tc>
          <w:tcPr>
            <w:shd w:fill="F5F7FC" w:val="clear"/>
            <w:tcMar>
              <w:top w:type="dxa" w:w="12"/>
              <w:left w:type="dxa" w:w="72"/>
              <w:bottom w:type="dxa" w:w="12"/>
              <w:right w:type="dxa" w:w="72"/>
            </w:tcMar>
          </w:tcPr>
          <w:p>
            <w:r>
              <w:rPr>
                <w:b/>
                <w:bCs/>
                <w:color w:val="23265A"/>
                <w:sz w:val="16"/>
                <w:szCs w:val="16"/>
              </w:rPr>
              <w:t xml:space="preserve">Where it appears</w:t>
            </w:r>
          </w:p>
        </w:tc>
        <w:tc>
          <w:tcPr>
            <w:shd w:fill="F5F7FC" w:val="clear"/>
            <w:tcMar>
              <w:top w:type="dxa" w:w="12"/>
              <w:left w:type="dxa" w:w="72"/>
              <w:bottom w:type="dxa" w:w="12"/>
              <w:right w:type="dxa" w:w="72"/>
            </w:tcMar>
          </w:tcPr>
          <w:p>
            <w:r>
              <w:rPr>
                <w:b/>
                <w:bCs/>
                <w:color w:val="23265A"/>
                <w:sz w:val="16"/>
                <w:szCs w:val="16"/>
              </w:rPr>
              <w:t xml:space="preserve">Amount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Gain on sale of equipment (the Dubai oven, Chapter 10)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Gain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Other income and (expense)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3,000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Loss on sale of receivables (factoring, Chapter 6)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Loss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Other income and (expense)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(15,000)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Unrealized gains on securities (Chapter 9)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Gain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Other income and (expense)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4,000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Impairment losses (Chapter 10)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Loss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Operating expenses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(2,724,000)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Unrealized loss on AFS debt securities, net of tax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Loss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OCI, not net income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(1,125)</w:t>
            </w:r>
          </w:p>
        </w:tc>
      </w:tr>
    </w:tbl>
    <w:p/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Use the panel above. Where does Orontes report its 2025 impairment losses?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In other income and expense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In OCI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Net of tax below continuing operations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Within operating expenses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Use the panel above. What is Orontes's OCI for 2027 before tax (whole USD)?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(8,000)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2,000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10,000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Use the panel above. What loss does Orontes recognize when the frozen-foods business becomes held for sale (whole USD)?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180,000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300,000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3,180,000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5 · true or false   </w:t>
      </w:r>
      <w:r>
        <w:rPr>
          <w:b/>
          <w:bCs/>
          <w:sz w:val="19"/>
          <w:szCs w:val="19"/>
        </w:rPr>
        <w:t xml:space="preserve">Ring T or F for each statement.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82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Statement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True or false?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19.  </w:t>
            </w:r>
            <w:r>
              <w:rPr>
                <w:sz w:val="18"/>
                <w:szCs w:val="18"/>
              </w:rPr>
              <w:t xml:space="preserve">Carrying amount $3,180,000 minus fair value less cost to sell $3,000,000.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20.  </w:t>
            </w:r>
            <w:r>
              <w:rPr>
                <w:sz w:val="18"/>
                <w:szCs w:val="18"/>
              </w:rPr>
              <w:t xml:space="preserve">the whole payment as a period cost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21.  </w:t>
            </w:r>
            <w:r>
              <w:rPr>
                <w:sz w:val="18"/>
                <w:szCs w:val="18"/>
              </w:rPr>
              <w:t xml:space="preserve">A gain on sale of equipment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22.  </w:t>
            </w:r>
            <w:r>
              <w:rPr>
                <w:sz w:val="18"/>
                <w:szCs w:val="18"/>
              </w:rPr>
              <w:t xml:space="preserve">Held for sale and discontinued operation are different tests.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23.  </w:t>
            </w:r>
            <w:r>
              <w:rPr>
                <w:sz w:val="18"/>
                <w:szCs w:val="18"/>
              </w:rPr>
              <w:t xml:space="preserve">Unusual items stay in continuing operations.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24.  </w:t>
            </w:r>
            <w:r>
              <w:rPr>
                <w:sz w:val="18"/>
                <w:szCs w:val="18"/>
              </w:rPr>
              <w:t xml:space="preserve">Some IFRS OCI items never recycle.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25.  </w:t>
            </w:r>
            <w:r>
              <w:rPr>
                <w:sz w:val="18"/>
                <w:szCs w:val="18"/>
              </w:rPr>
              <w:t xml:space="preserve">Leaving a major geographic area is a strategic shift.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2</w:t>
      </w:r>
      <w:r>
        <w:rPr>
          <w:color w:val="FFFFFF"/>
          <w:sz w:val="15"/>
          <w:szCs w:val="15"/>
        </w:rPr>
        <w:t xml:space="preserve">   ·   items 16 to 25   ·   </w:t>
      </w:r>
      <w:r>
        <w:rPr>
          <w:color w:val="FFFFFF"/>
          <w:sz w:val="15"/>
          <w:szCs w:val="15"/>
        </w:rPr>
        <w:t xml:space="preserve">fewer than 7 right: </w:t>
      </w:r>
      <w:r>
        <w:rPr>
          <w:b/>
          <w:bCs/>
          <w:color w:val="FFFFFF"/>
          <w:sz w:val="15"/>
          <w:szCs w:val="15"/>
        </w:rPr>
        <w:t xml:space="preserve">redo page 2 before page 3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6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holding gain or loss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مكوِّن من مكونات المنشأة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period cost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مكسب أو خسارة الاحتفاظ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systematic and rational allocation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تحول استراتيجي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component of an entity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التوزيع المنتظم والمنطقي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strategic shift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تكلفة الفترة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7 · fill in the table   </w:t>
      </w:r>
      <w:r>
        <w:rPr>
          <w:b/>
          <w:bCs/>
          <w:sz w:val="19"/>
          <w:szCs w:val="19"/>
        </w:rPr>
        <w:t xml:space="preserve">Answer each item of the case set. The first one is done.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70"/>
        <w:gridCol w:w="30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The item, as the book asks it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Your answer</w:t>
            </w:r>
          </w:p>
        </w:tc>
      </w:tr>
      <w:tr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income from continuing operations, net of tax.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3,510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income from discontinued operations, net of tax.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31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net income.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32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OCI, net of tax.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33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comprehensive income.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34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3</w:t>
      </w:r>
      <w:r>
        <w:rPr>
          <w:color w:val="FFFFFF"/>
          <w:sz w:val="15"/>
          <w:szCs w:val="15"/>
        </w:rPr>
        <w:t xml:space="preserve">   ·   items 26 to 34   ·   </w:t>
      </w:r>
      <w:r>
        <w:rPr>
          <w:color w:val="FFFFFF"/>
          <w:sz w:val="15"/>
          <w:szCs w:val="15"/>
        </w:rPr>
        <w:t xml:space="preserve">fewer than 6 right: </w:t>
      </w:r>
      <w:r>
        <w:rPr>
          <w:b/>
          <w:bCs/>
          <w:color w:val="FFFFFF"/>
          <w:sz w:val="15"/>
          <w:szCs w:val="15"/>
        </w:rPr>
        <w:t xml:space="preserve">redo page 3 before you leave the handout</w:t>
      </w:r>
    </w:p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15.3 · Measuring Income: exam practice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CMA Part 1 · Section A · Chapter 15 · from section Measuring Income: Gains, Losses, Comprehensive Income and Discontinued Operations of the book · 3 pages, answer key on a separate sheet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1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A company sells land with a carrying amount of $300,000 for $360,000. On the income statement it reports: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revenue of $360,000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 gain of $60,000 in other income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revenue of $360,000 and cost of sales of $300,000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 gain of $360,000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A company settles a large lawsuit, which is unusual for it, for a loss of $500,000. The loss is presented: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as a separate line in continuing operations, before tax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as an extraordinary item, net of tax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in OCI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in discontinued operations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Which statement about gains and losses is correct?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They are always shown in OCI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They are always shown gross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They arise from peripheral or incidental transactions and are usually shown net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They include dividends paid to owners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Which cost is recognized by cause and effect?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Depreciation of the head office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Research costs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The CEO's salary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Sales commissions on goods sold this year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Under U.S. GAAP, costs of researching a new juice recipe are: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capitalized as an intangible asset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capitalized once the recipe is technically feasible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added to inventory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expensed when incurred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Orontes pays 12 months of rent in advance on July 1. At December 31, the expense recognized is: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twelve months of rent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nothing until the lease ends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six months of rent; the rest is a prepaid asset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the whole payment as a period cost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2 · true or false   </w:t>
      </w:r>
      <w:r>
        <w:rPr>
          <w:b/>
          <w:bCs/>
          <w:sz w:val="19"/>
          <w:szCs w:val="19"/>
        </w:rPr>
        <w:t xml:space="preserve">Ring T or F for each statement.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82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Statement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True or false?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7.  </w:t>
            </w:r>
            <w:r>
              <w:rPr>
                <w:sz w:val="18"/>
                <w:szCs w:val="18"/>
              </w:rPr>
              <w:t xml:space="preserve">It removes 2026 from the statements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8.  </w:t>
            </w:r>
            <w:r>
              <w:rPr>
                <w:sz w:val="18"/>
                <w:szCs w:val="18"/>
              </w:rPr>
              <w:t xml:space="preserve">Selling equipment is peripheral to Orontes's main activities.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9.  </w:t>
            </w:r>
            <w:r>
              <w:rPr>
                <w:sz w:val="18"/>
                <w:szCs w:val="18"/>
              </w:rPr>
              <w:t xml:space="preserve">The gain moves out of AOCI into net income.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10.  </w:t>
            </w:r>
            <w:r>
              <w:rPr>
                <w:sz w:val="18"/>
                <w:szCs w:val="18"/>
              </w:rPr>
              <w:t xml:space="preserve">It is reclassified to profit or loss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11.  </w:t>
            </w:r>
            <w:r>
              <w:rPr>
                <w:sz w:val="18"/>
                <w:szCs w:val="18"/>
              </w:rPr>
              <w:t xml:space="preserve">Net pretax gain of $200,000 less tax of $50,000.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12.  </w:t>
            </w:r>
            <w:r>
              <w:rPr>
                <w:sz w:val="18"/>
                <w:szCs w:val="18"/>
              </w:rPr>
              <w:t xml:space="preserve">Sales of olive oil to supermarkets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13.  </w:t>
            </w:r>
            <w:r>
              <w:rPr>
                <w:sz w:val="18"/>
                <w:szCs w:val="18"/>
              </w:rPr>
              <w:t xml:space="preserve">All six criteria must be met, not only board approval.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1</w:t>
      </w:r>
      <w:r>
        <w:rPr>
          <w:color w:val="FFFFFF"/>
          <w:sz w:val="15"/>
          <w:szCs w:val="15"/>
        </w:rPr>
        <w:t xml:space="preserve">   ·   items 1 to 13   ·   </w:t>
      </w:r>
      <w:r>
        <w:rPr>
          <w:color w:val="FFFFFF"/>
          <w:sz w:val="15"/>
          <w:szCs w:val="15"/>
        </w:rPr>
        <w:t xml:space="preserve">fewer than 9 right: </w:t>
      </w:r>
      <w:r>
        <w:rPr>
          <w:b/>
          <w:bCs/>
          <w:color w:val="FFFFFF"/>
          <w:sz w:val="15"/>
          <w:szCs w:val="15"/>
        </w:rPr>
        <w:t xml:space="preserve">read section 15.1 again before page 2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3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gain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مجموعة الاستبعاد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loss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القيمة العادلة ناقصاً تكاليف البيع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comprehensive income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الدخل الشامل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reclassification adjustment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العمليات غير المستمرة (المتوقفة)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discontinued operation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مكسب (مكاسب)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held for sale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تعديل إعادة التصنيف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disposal group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خسارة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fair value less cost to sell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محتفظ به للبيع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4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Which item is part of U.S. OCI?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 foreign currency translation adjustment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An unrealized gain on equity securities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 gain on sale of equipment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An impairment loss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A company sells an AFS bond at a gain of $30,000 that was already in AOCI. What reclassification adjustment appears in OCI in the year of sale?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+$30,000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−$30,000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$0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−$60,000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24.  </w:t>
      </w:r>
      <w:r>
        <w:rPr>
          <w:sz w:val="19"/>
          <w:szCs w:val="19"/>
        </w:rPr>
        <w:t xml:space="preserve">Net income is $900,000. OCI includes a $50,000 holding gain on AFS bonds and a $20,000 reclassification of gains realized this year. Ignoring tax, what is comprehensive income?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$900,000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$930,000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$950,000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$970,000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25.  </w:t>
      </w:r>
      <w:r>
        <w:rPr>
          <w:sz w:val="19"/>
          <w:szCs w:val="19"/>
        </w:rPr>
        <w:t xml:space="preserve">Over the whole life of an AFS bond, from purchase to sale, total comprehensive income from the bond equals: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the total gain or loss, counted once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twice the total gain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zero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the OCI of the final year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26.  </w:t>
      </w:r>
      <w:r>
        <w:rPr>
          <w:sz w:val="19"/>
          <w:szCs w:val="19"/>
        </w:rPr>
        <w:t xml:space="preserve">On March 15 a board approves a plan to sell a division, but the division is not yet available for immediate sale. When can it be classified as held for sale?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On March 15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When the sale is completed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At the next year-end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When all six criteria are met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27.  </w:t>
      </w:r>
      <w:r>
        <w:rPr>
          <w:sz w:val="19"/>
          <w:szCs w:val="19"/>
        </w:rPr>
        <w:t xml:space="preserve">A held-for-sale group was written down by $100,000. Its fair value less cost to sell then rises by $150,000 before the sale. What gain may the company recognize?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$0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$50,000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$100,000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$150,000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2</w:t>
      </w:r>
      <w:r>
        <w:rPr>
          <w:color w:val="FFFFFF"/>
          <w:sz w:val="15"/>
          <w:szCs w:val="15"/>
        </w:rPr>
        <w:t xml:space="preserve">   ·   items 14 to 27   ·   </w:t>
      </w:r>
      <w:r>
        <w:rPr>
          <w:color w:val="FFFFFF"/>
          <w:sz w:val="15"/>
          <w:szCs w:val="15"/>
        </w:rPr>
        <w:t xml:space="preserve">fewer than 10 right: </w:t>
      </w:r>
      <w:r>
        <w:rPr>
          <w:b/>
          <w:bCs/>
          <w:color w:val="FFFFFF"/>
          <w:sz w:val="15"/>
          <w:szCs w:val="15"/>
        </w:rPr>
        <w:t xml:space="preserve">redo page 2 before page 3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5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holding gain or loss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مكوِّن من مكونات المنشأة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period cost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مكسب أو خسارة الاحتفاظ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systematic and rational allocation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تحول استراتيجي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component of an entity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التوزيع المنتظم والمنطقي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strategic shift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تكلفة الفترة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6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33.  </w:t>
      </w:r>
      <w:r>
        <w:rPr>
          <w:sz w:val="19"/>
          <w:szCs w:val="19"/>
        </w:rPr>
        <w:t xml:space="preserve">A company sells a major line of business, with an operating loss of $80,000 and a gain on sale of $280,000, both before tax. At a 25% tax rate, what does it report in discontinued operations?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 gain of $200,000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 gain of $150,000, net of tax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 gain of $280,000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 loss of $60,000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34.  </w:t>
      </w:r>
      <w:r>
        <w:rPr>
          <w:sz w:val="19"/>
          <w:szCs w:val="19"/>
        </w:rPr>
        <w:t xml:space="preserve">A company decides to sell a warehouse, which meets the held-for-sale criteria but is not a component. How is it reported?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As a discontinued operation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In OCI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Not at all until sold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Separately on the balance sheet as held for sale; its results stay in continuing operations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35.  </w:t>
      </w:r>
      <w:r>
        <w:rPr>
          <w:sz w:val="19"/>
          <w:szCs w:val="19"/>
        </w:rPr>
        <w:t xml:space="preserve">Which item is included in a disposal group held for sale?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Goodwill allocated to the component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Only the component's PP&amp;E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The company's head-office building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Retained earnings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36.  </w:t>
      </w:r>
      <w:r>
        <w:rPr>
          <w:sz w:val="19"/>
          <w:szCs w:val="19"/>
        </w:rPr>
        <w:t xml:space="preserve">Under IFRS, what happens to a revaluation surplus on land when the land is sold?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It is reclassified to profit or loss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It becomes a discontinued operation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It is never reclassified to profit; it may be transferred to retained earnings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It is reversed through OCI and profit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3</w:t>
      </w:r>
      <w:r>
        <w:rPr>
          <w:color w:val="FFFFFF"/>
          <w:sz w:val="15"/>
          <w:szCs w:val="15"/>
        </w:rPr>
        <w:t xml:space="preserve">   ·   items 28 to 36   ·   </w:t>
      </w:r>
      <w:r>
        <w:rPr>
          <w:color w:val="FFFFFF"/>
          <w:sz w:val="15"/>
          <w:szCs w:val="15"/>
        </w:rPr>
        <w:t xml:space="preserve">fewer than 6 right: </w:t>
      </w:r>
      <w:r>
        <w:rPr>
          <w:b/>
          <w:bCs/>
          <w:color w:val="FFFFFF"/>
          <w:sz w:val="15"/>
          <w:szCs w:val="15"/>
        </w:rPr>
        <w:t xml:space="preserve">redo page 3 before you leave the handout</w:t>
      </w:r>
    </w:p>
    <w:p>
      <w:pPr>
        <w:sectPr>
          <w:headerReference w:type="default" r:id="rIdHdr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3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15.1 · Comprehensive income and reclassification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15.1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3</w:t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15.2 · Is it a discontinued operation?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15.2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3</w:t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15.3 · Measuring Income: exam practice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15.3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3</w:t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Hdr1" Target="header1.xml" Type="http://schemas.openxmlformats.org/officeDocument/2006/relationships/header"/><Relationship Id="rIdHdr2" Target="header2.xml" Type="http://schemas.openxmlformats.org/officeDocument/2006/relationships/header"/><Relationship Id="rIdHdr3" Target="header3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Section A · Chapter 15</dc:title>
  <dc:subject>Measuring Income: Gains, Losses, Comprehensive Income and Discontinued Operations</dc:subject>
  <cp:category>Student Book</cp:category>
</cp:coreProperties>
</file>