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What consolidated statements are · and 1 more section · Consolidated Financial Statements · 44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subsidiary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unrealized profit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subsidiary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proportionate consolidation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noncontrolling interest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900,000 − 120,000 − 25,000 = 755,000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One line: investment and share of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20% × 755,000 = 151,000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Jordan Glass (30%)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(20,000)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Investor's share of each line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1,900,000 + 151,000 − 20,000 = 2,031,000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used by Orontes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16.1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16.1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16.1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Consolidation shows the group as one entity.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NCI is equity of the group.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VIE model comes before the voting model.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Significant influence without control leads to the equity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Changes in ownership without loss of control are equity transactions.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Partial goodwill: price + $1,700,000 − $8,500,000.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Equity treatment is only for changes without loss of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section 16.3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section 16.3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section 16.3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section 16.3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acquisition: goodwill and noncontrolling interest · Consolidated Financial Statements · 38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acquisition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subsidiary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goodwill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eliminated in full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Orontes is the primary beneficiary.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Only Orontes's 30% share of the $40,000 unrealized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30% of the $200,000 gross profit is still in Levant's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Orontes owns no shares.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Only controlled entities are consolidated.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Joint ventures use the equity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No gain or loss arises while control is kept.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 total includes NCI's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16.4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section 16.4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section 16.4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Consolidation adds all the subsidiary's items; NCI is shown separately.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Both amounts are attributed on the face of the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Price + NCI fair value − net assets.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Eliminating intercompany balances and transactions · and 1 more section · Consolidated Financial Statements · 36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goodwill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joint venture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subsidiary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intercompany transaction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 sale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upstream sale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16.5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16.5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16.5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16.5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Substantive participating rights overcome majority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Joint ventures use the equity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Only limited industry practice allows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investor records its share of income; dividends reduce the investment.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Sales to outsiders are real revenue for the group.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Downstream profit belongs to the parent.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section 16.6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section 16.6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section 16.6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section 16.6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16 · Answer Keys</dc:title>
  <dc:subject>Consolidated Financial Statements</dc:subject>
  <cp:category>Student Book</cp:category>
</cp:coreProperties>
</file>