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U.S. GAAP and IFRS: long-lived assets · U.S. GAAP and IFRS: The Six Tested Differences · 55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614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revaluation surplus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revaluation model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component depreciation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Lowers U.S. net income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effect on net income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Raises U.S. net income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Raises U.S. net income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17.5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17.5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17.5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graded-vesting choice exists only under U.S. GAAP.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U.S. GAAP expenses R&amp;D, except limited software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IAS 38 allows revaluation only with an active market; U.S. GAAP prohibits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cannot use LIFO  IAS 2 prohibits LIFO.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Only IFRS 16 has the low-value exemption.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Component depreciation is required by IAS 16.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LCNRV applies to FIFO and average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LIFO is prohibited for all inventory.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Expense is recognized each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46   </w:t>
      </w:r>
      <w:r>
        <w:rPr>
          <w:sz w:val="15"/>
          <w:szCs w:val="15"/>
        </w:rPr>
        <w:t xml:space="preserve">IAS 19 expenses it at once; U.S. GAAP amortizes it from OCI.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Depreciation $84,247 + interest $25,274.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U.S. GAAP and IFRS: exam practice · U.S. GAAP and IFRS: The Six Tested Differences · 47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IAS 19 remeasurements stay in equity.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U.S. GAAP uses expected return; IAS 19 uses net interest.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Accruing over the vesting period is the IFRS approach.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Acquired intangibles are recognized under both.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Public companies test goodwill for impairment only.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The reversal is limited to the original write-down: back to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U.S. GAAP expenses development.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rule is reversed.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This is the U.S. GAAP treatment.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LCM still applies to LIFO and the retail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IFRS 16 remeasures for index changes; ASC 842 does not.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the same total expense, spread evenly instead of front-loaded  Only the timing differs.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IAS 23 deducts investment income on specific borrowings.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IAS 40 offers a fair value or cost model; U.S. GAAP has no such category.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17 · Answer Keys</dc:title>
  <dc:subject>U.S. GAAP and IFRS: The Six Tested Differences</dc:subject>
  <cp:category>Student Book</cp:category>
</cp:coreProperties>
</file>