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U.S. GAAP and IFRS: long-lived assets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17 · from section U.S. GAAP and IFRS: The Six Tested Differences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revaluation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الخدمة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revaluation surplus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القياس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development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التطوير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in use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المبلغ القابل للاسترداد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recoverable amount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إعادة التقييم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cash-generating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من الاستخدام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prior service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فائض إعادة التقييم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remeasurements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توليد النقد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17.5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cash-generating unit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component depreciation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development costs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recoverability test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recoverable amount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revaluation model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revaluation surplus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IAS 16 also allows the revaluation model for a whole class of assets: the assets are carried at fair value, and increases go to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 in OCI.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Under IFRS, if Orontes chose 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, it would show the land at fair value and a surplus of $600,000 in OCI.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IFRS requires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   </w:t>
      </w:r>
      <w:r>
        <w:rPr>
          <w:sz w:val="20"/>
          <w:szCs w:val="20"/>
        </w:rPr>
        <w:t xml:space="preserve"> for significant parts with different lives; U.S.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L1 Development costs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Lowers U.S. net income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L2 Write-down reversal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L3 Land revaluation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L4 Fleet impairment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L5 Truck lease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U.S. GAAP only, IFRS only, or both? Write one letter beside each item:  I = IFRS only · U = U.S. GAAP only · _ = ________.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LIFO is permitted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Inventory write-downs are reversed when NRV recovers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Development costs are capitalized when criteria are met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Impairment is tested first with undiscounted cash flows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A short-term lease exemption exists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Prior service cost is expensed immediately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 grants share options that vest one third each year for three years (service condition only).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frameworks require straight-line recognition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U.S. GAAP allows straight-line or tranche-by-tranche recognition; IFRS 2 requires tranche by tranche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U.S. GAAP requires tranche by tranche; IFRS allows a choice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Neither framework recognizes expense until vesting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spends $300,000 developing a new product, and all IAS 38 criteria are met. Under U.S. GAAP the cost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capitalized as an intangible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capitalized, then revalued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expensed as incurred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deferred until sales begin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When may a company revalue an intangible asset upward?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under IFRS, and only when an active market exists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Under both frameworks, every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under U.S.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Never under either framework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French subsidiary using IFRS wants to adopt LIFO to lower its taxable profit. Under IFRS,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cannot use LIFO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may use LIFO if it also uses it for tax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may use LIFO for part of its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must use LIFO when prices rise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lessee rule exists under IFRS 16 but NOT under ASC 842?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exemption for leases of 12 months or less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right-of-use asset for most leases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exemption for leases of low-value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Discounting the lease payments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An aircraft has an engine that lasts 5 years and a body that lasts 25 years.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IFRS requires the parts to be depreciated separately; U.S. GAAP allows but does not require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U.S. GAAP requires component depreciation; IFRS does not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prohibit component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the body is depreciated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Only IFRS 16 has the low-value exemption.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Lower of cost and net realizable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Component depreciation is required by IAS 16.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may use LIFO for part of its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Accruing over the vesting period is the IFRS approach.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Recoverable amount is the higher amount, $460,000.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no expense until the lease ends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revaluation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الخدمة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revaluation surplus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القياس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development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التطوير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in use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المبلغ القابل للاسترداد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recoverable amount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إعادة التقييم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cash-generating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من الاستخدام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prior service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فائض إعادة التقييم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remeasurements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توليد النقد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decrease in Levant's 2027 net income on conversion to U.S. GAAP.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Levant's 2027 net income under U.S. GAAP.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carrying amount of the delivery fleet under U.S. GAAP.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By how much is Levant's equity lower under U.S. GAAP than under IFRS?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45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Topic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U.S. GAAP (ASC 718, 715)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IFRS (IFRS 2, IAS 19)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Graded vesting (service condition)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Choice: straight-line over the whole period or tranche by tranche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Tranche by tranche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Forfeitures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Policy choice: estimate or record as they occur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Estimate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Employer payroll taxes on awards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When the tax obligation arises (exercise or vesting)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Accrued over the vesting period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Pension remeasurements (actuarial gains and losses)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OCI, then amortized into net income (corridor)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OCI, never reclassified to profit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Return on plan assets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Expected return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Net interest at the discount rate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Prior service cost: Orontes amendment of 50,000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OCI, amortized over 10 years: 5,000 a year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Expensed at once: 50,000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Use the panel above. How much of Orontes's prior service cost is recognized in 2027 net income under IAS 19 and under U.S. GAAP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IFRS 5,000; U.S. 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Both 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IFRS 50,000; U.S. 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Use the panel above. What is the warehouse lease expense for 2026 under IFRS 16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25,274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84,247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109,521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Use the panel above. Under IFRS with the revaluation model, where does the $600,000 increase in the land's value go?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net income as a 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Nowhere; land stays at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retained earnings directly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OCI, as a revaluation surplus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49.  </w:t>
            </w:r>
            <w:r>
              <w:rPr>
                <w:sz w:val="18"/>
                <w:szCs w:val="18"/>
              </w:rPr>
              <w:t xml:space="preserve">IAS 19 remeasurements stay in equity.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50.  </w:t>
            </w:r>
            <w:r>
              <w:rPr>
                <w:sz w:val="18"/>
                <w:szCs w:val="18"/>
              </w:rPr>
              <w:t xml:space="preserve">may use LIFO if it also uses it for tax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51.  </w:t>
            </w:r>
            <w:r>
              <w:rPr>
                <w:sz w:val="18"/>
                <w:szCs w:val="18"/>
              </w:rPr>
              <w:t xml:space="preserve">Upward revaluations go to OCI under IAS 16.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52.  </w:t>
            </w:r>
            <w:r>
              <w:rPr>
                <w:sz w:val="18"/>
                <w:szCs w:val="18"/>
              </w:rPr>
              <w:t xml:space="preserve">IAS 36 prohibits reversal of goodwill impairment.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53.  </w:t>
            </w:r>
            <w:r>
              <w:rPr>
                <w:sz w:val="18"/>
                <w:szCs w:val="18"/>
              </w:rPr>
              <w:t xml:space="preserve">Interest at the discount rate on plan assets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54.  </w:t>
            </w:r>
            <w:r>
              <w:rPr>
                <w:sz w:val="18"/>
                <w:szCs w:val="18"/>
              </w:rPr>
              <w:t xml:space="preserve">Neither framework recognizes expense until vesting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55.  </w:t>
            </w:r>
            <w:r>
              <w:rPr>
                <w:sz w:val="18"/>
                <w:szCs w:val="18"/>
              </w:rPr>
              <w:t xml:space="preserve">They are reversed the next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46 to 55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U.S. GAAP and IFRS: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17 · from section U.S. GAAP and IFRS: The Six Tested Differences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graded vesting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الإهلاك حسب المكونات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defined benefit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الاستحقاق المتدرج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research and development (R&amp;D)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العادلة ناقصاً تكاليف الاستبعاد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(NRV)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أو صافي القيمة القابلة للتحقق، أيهما أقل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lower of cost and net realizable value (LCNRV)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خطة المنافع المحددة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component depreciation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اختبار قابلية الاسترداد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less costs of disposal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البحث والتطوير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recoverability test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صافي القيمة القابلة للتحقق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Under IAS 19, what happens to actuarial losses recognized in OCI?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are amortized into profit over future service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are recognized in profit when the plan is settled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are never reclassified to profit or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are reversed the next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Under U.S. GAAP, which return on plan assets reduces pension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Interest at the discount rate on plan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actual return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return is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expected return on plan assets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Employer payroll taxes on stock options: when does a U.S. company recognize the liability?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Evenly over the vesting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the tax obligation arises, usually at exercise or vesting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At grant date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Never; it is an employee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intangible is recognized under BOTH frameworks?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patent bought from another company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internally generated brand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Development costs of a new recipe under U.S.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internally built customer list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Orontes, an SEC registrant, wants to amortize its goodwill over 10 years.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may, using the private-company alternative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must amortize over 40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may, if IFRS allows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may not; only private companies can elect goodwill amortization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Inventory with a cost of $80,000 was written down to $70,000. NRV then rises to $85,000. What is the carrying amount under IFRS?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$85,000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Acquired intangibles are recognized under both.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Development costs of a new recipe under U.S. GAAP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U.S. GAAP requires component depreciation; IFRS does not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IAS 19 expenses it at once; U.S. GAAP amortizes it from OCI.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IAS 38 allows revaluation only with an active market; U.S. GAAP prohibits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expenses the increase with no remeasurement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IAS 40 offers a fair value or cost model; U.S. GAAP has no such category.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revaluation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الخدمة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revaluation surplus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القياس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development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التطوير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in use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المبلغ القابل للاسترداد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recoverable amount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إعادة التقييم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cash-generating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من الاستخدام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prior service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فائض إعادة التقييم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remeasurements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توليد النقد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29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A U.S. company uses LIFO. Which valuation rule applies at year-end?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of cost or market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Lower of cost and net realizable value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Fair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Replacement cost always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lessee's payments rise each year with the CPI. After a CPI increase, under IFRS 16 the lessee: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expenses the increase with no remeasurement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remeasures the lease liability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reclassifies the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records a gain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Over the whole life of a lease, compared with IFRS 16, a U.S. operating lease gives: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lower total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 total expense, spread evenly instead of front-loaded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higher total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expense until the lease ends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Under IFRS, a company borrows specifically to build a plant and earns interest on unspent funds. The capitalized borrowing cost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interest incurred, with no deduction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zero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interest incurred minus the investment income earned on the borrowed funds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investment income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An IFRS company holds an office building to earn rent. It may measure the building: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at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at fair value through OCI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at replacement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at fair value through profit or loss, or at cost (IAS 40)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Under U.S. GAAP, which measure is compared with the carrying amount in the first step of an impairment test for a held-and-used asset group?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Undiscounted future cash flows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Value in use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Recoverable amount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Fair value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graded vesting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الإهلاك حسب المكونات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defined benefit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الاستحقاق المتدرج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research and development (R&amp;D)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العادلة ناقصاً تكاليف الاستبعاد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(NRV)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أو صافي القيمة القابلة للتحقق، أيهما أقل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lower of cost and net realizable value (LCNRV)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خطة المنافع المحددة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component depreciation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اختبار قابلية الاسترداد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fair value less costs of disposal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البحث والتطوير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recoverability test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صافي القيمة القابلة للتحقق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43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An asset has a carrying amount of $500,000, fair value less costs of disposal of $420,000 and value in use of $460,000. What is the IFRS impairment loss?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Goodwill was impaired last year. This year the cash-generating unit recovers. Under IFRS, the goodwill impairment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reversed in full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reversed up to original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reversed through OCI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never reversed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What is the IFRS equivalent of a U.S. 'asset group' in impairment testing?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reporting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cash-generating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disposal group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component of an entity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Which pair shows a correct difference?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U.S.: research and development expensed; IFRS: development capitalized when criteria are met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U.S.: development capitalized; IFRS: expensed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capitalize research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Both expense all software costs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44 to 47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U.S. GAAP and IFRS: long-lived assets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U.S. GAAP and IFRS: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17</dc:title>
  <dc:subject>U.S. GAAP and IFRS: The Six Tested Differences</dc:subject>
  <cp:category>Student Book</cp:category>
</cp:coreProperties>
</file>