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5</w:t>
      </w:r>
    </w:p>
    <w:p>
      <w:pPr>
        <w:spacing w:after="8"/>
      </w:pPr>
      <w:r>
        <w:rPr>
          <w:color w:val="23265A"/>
          <w:sz w:val="22"/>
          <w:szCs w:val="22"/>
        </w:rPr>
        <w:t xml:space="preserve">Long-Lived Assets</w:t>
      </w:r>
    </w:p>
    <w:p>
      <w:pPr>
        <w:spacing w:after="130"/>
      </w:pPr>
      <w:r>
        <w:rPr>
          <w:color w:val="6B7280"/>
          <w:sz w:val="20"/>
          <w:szCs w:val="20"/>
        </w:rPr>
        <w:t xml:space="preserve">One handout, rebuilt. Five schedules, sixty cells to complete, and not one figure printed in the prose that a table then asks for. The case gives three estimates; everything else is derived.</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one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The Depreciation Methods, Side by Side</w:t>
            </w:r>
          </w:p>
        </w:tc>
        <w:tc>
          <w:tcPr>
            <w:tcMar>
              <w:top w:type="dxa" w:w="60"/>
              <w:left w:type="dxa" w:w="120"/>
              <w:bottom w:type="dxa" w:w="60"/>
              <w:right w:type="dxa" w:w="120"/>
            </w:tcMar>
          </w:tcPr>
          <w:p>
            <w:r>
              <w:rPr>
                <w:sz w:val="19"/>
                <w:szCs w:val="19"/>
              </w:rPr>
              <w:t xml:space="preserve">One machine, one life, one amount to write off. Four patterns for writing it off, and you compute every one of them.</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The Depreciation Methods, Side by Side</w:t>
      </w:r>
    </w:p>
    <w:p>
      <w:pPr>
        <w:spacing w:after="8"/>
      </w:pPr>
      <w:r>
        <w:rPr>
          <w:color w:val="23265A"/>
          <w:sz w:val="22"/>
          <w:szCs w:val="22"/>
        </w:rPr>
        <w:t xml:space="preserve">One machine, one life, one amount to write off. Four patterns for writing it off, and you compute every one of them.</w:t>
      </w:r>
    </w:p>
    <w:p>
      <w:pPr>
        <w:spacing w:after="130"/>
      </w:pPr>
      <w:r>
        <w:rPr>
          <w:color w:val="6B7280"/>
          <w:sz w:val="20"/>
          <w:szCs w:val="20"/>
        </w:rPr>
        <w:t xml:space="preserve">Volume 5 · Long-Lived Assets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three estimates are named, R2 once the schedules are being built.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estimate a useful life · write off the depreciable amount · apply a rate to a falling carrying amount · accelerate a charge into the early years · cap a charge at the residual value · depreciate on the basis of output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cost / carrying amount · useful life / residual value · straight line / accelerated · time-based / activity-based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An accelerated method is not a larger total. It is the same total, taken sooner.  Residual value is not what the asset will be worth. It is what this company expects to get for it at the end of its own use of it.</w:t>
            </w:r>
          </w:p>
        </w:tc>
      </w:tr>
    </w:tbl>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70"/>
            </w:pPr>
            <w:r>
              <w:rPr>
                <w:b/>
                <w:bCs/>
                <w:color w:val="353A7C"/>
                <w:sz w:val="22"/>
                <w:szCs w:val="22"/>
              </w:rPr>
              <w:t xml:space="preserve">One machine, four schedules</w:t>
            </w:r>
          </w:p>
          <w:p>
            <w:pPr>
              <w:spacing w:after="80" w:line="290" w:lineRule="auto"/>
            </w:pPr>
            <w:r>
              <w:rPr>
                <w:sz w:val="21"/>
                <w:szCs w:val="21"/>
              </w:rPr>
              <w:t xml:space="preserve">In January 20X4 Northwind bought a packing machine for $500,000. It expects to use the machine for 5 years, and then to sell it for about $50,000.</w:t>
            </w:r>
          </w:p>
          <w:p>
            <w:pPr>
              <w:spacing w:after="80" w:line="290" w:lineRule="auto"/>
            </w:pPr>
            <w:r>
              <w:rPr>
                <w:sz w:val="21"/>
                <w:szCs w:val="21"/>
              </w:rPr>
              <w:t xml:space="preserve">Those three numbers are everything a depreciation method is given: what the machine cost, how long the company expects to use it, and what it expects to get back at the end. The first is a fact; the other two are estimates made by management.</w:t>
            </w:r>
          </w:p>
          <w:p>
            <w:pPr>
              <w:spacing w:after="80" w:line="290" w:lineRule="auto"/>
            </w:pPr>
            <w:r>
              <w:rPr>
                <w:sz w:val="21"/>
                <w:szCs w:val="21"/>
              </w:rPr>
              <w:t xml:space="preserve">The machine is expected to produce 900,000 units over its life, and the production plan for each of the five years is in the table in Part 5.</w:t>
            </w:r>
          </w:p>
          <w:p>
            <w:pPr>
              <w:spacing w:after="80" w:line="290" w:lineRule="auto"/>
            </w:pPr>
            <w:r>
              <w:rPr>
                <w:sz w:val="21"/>
                <w:szCs w:val="21"/>
              </w:rPr>
              <w:t xml:space="preserve">In this handout you build four schedules from those figures. Nothing in the pages that follow tells you an answer before the table asks for it.</w:t>
            </w:r>
          </w:p>
          <w:p>
            <w:pPr>
              <w:bidi/>
              <w:jc w:val="right"/>
              <w:spacing w:before="140" w:after="60"/>
              <w:pBdr>
                <w:top w:val="single" w:sz="6" w:space="8" w:color="8186EF"/>
              </w:pBdr>
            </w:pPr>
            <w:r>
              <w:rPr>
                <w:b/>
                <w:bCs/>
                <w:color w:val="353A7C"/>
                <w:sz w:val="20"/>
                <w:szCs w:val="20"/>
              </w:rPr>
              <w:t xml:space="preserve">الحالة بالعربية</w:t>
            </w:r>
          </w:p>
          <w:p>
            <w:pPr>
              <w:bidi/>
              <w:jc w:val="right"/>
              <w:spacing w:after="80" w:line="300" w:lineRule="auto"/>
            </w:pPr>
            <w:r>
              <w:rPr>
                <w:rFonts w:cs="Arial" w:ascii="Arial" w:hAnsi="Arial"/>
                <w:rtl/>
                <w:bidi/>
                <w:sz w:val="21"/>
                <w:szCs w:val="21"/>
              </w:rPr>
              <w:t xml:space="preserve">في يناير من عام 20X4 اشترت شركة نورثويند آلة تعبئة بمبلغ $500,000. وتتوقع أن تستخدم الآلة لمدة 5 سنوات، ثم تبيعها بنحو $50,000.</w:t>
            </w:r>
          </w:p>
          <w:p>
            <w:pPr>
              <w:bidi/>
              <w:jc w:val="right"/>
              <w:spacing w:after="80" w:line="300" w:lineRule="auto"/>
            </w:pPr>
            <w:r>
              <w:rPr>
                <w:rFonts w:cs="Arial" w:ascii="Arial" w:hAnsi="Arial"/>
                <w:rtl/>
                <w:bidi/>
                <w:sz w:val="21"/>
                <w:szCs w:val="21"/>
              </w:rPr>
              <w:t xml:space="preserve">هذه الأرقام الثلاثة هي كل ما تُعطاه أي طريقة إهلاك: كم كلّفت الآلة، وكم سنة تتوقع الشركة أن تستخدمها، وكم تتوقع أن تسترد في النهاية. الأول حقيقة، والاثنان الآخران تقديران تضعهما الإدارة.</w:t>
            </w:r>
          </w:p>
          <w:p>
            <w:pPr>
              <w:bidi/>
              <w:jc w:val="right"/>
              <w:spacing w:after="80" w:line="300" w:lineRule="auto"/>
            </w:pPr>
            <w:r>
              <w:rPr>
                <w:rFonts w:cs="Arial" w:ascii="Arial" w:hAnsi="Arial"/>
                <w:rtl/>
                <w:bidi/>
                <w:sz w:val="21"/>
                <w:szCs w:val="21"/>
              </w:rPr>
              <w:t xml:space="preserve">ويُتوقع أن تنتج الآلة 900,000 وحدة خلال عمرها، وخطة الإنتاج لكل سنة من السنوات الخمس موجودة في الجدول في الجزء الخامس.</w:t>
            </w:r>
          </w:p>
          <w:p>
            <w:pPr>
              <w:bidi/>
              <w:jc w:val="right"/>
              <w:spacing w:after="80" w:line="300" w:lineRule="auto"/>
            </w:pPr>
            <w:r>
              <w:rPr>
                <w:rFonts w:cs="Arial" w:ascii="Arial" w:hAnsi="Arial"/>
                <w:rtl/>
                <w:bidi/>
                <w:sz w:val="21"/>
                <w:szCs w:val="21"/>
              </w:rPr>
              <w:t xml:space="preserve">في هذه الورقة ستبني أربعة جداول إهلاك من هذه الأرقام. ولن تجد في الصفحات التالية أي إجابة قبل أن يطلبها الجدول منك.</w:t>
            </w:r>
          </w:p>
        </w:tc>
      </w:tr>
    </w:tbl>
    <w:p/>
    <w:p>
      <w:pPr>
        <w:shd w:fill="353A7C" w:val="clear"/>
        <w:spacing w:after="80" w:before="230"/>
      </w:pPr>
      <w:r>
        <w:rPr>
          <w:b/>
          <w:bCs/>
          <w:color w:val="FFFFFF"/>
          <w:sz w:val="26"/>
          <w:szCs w:val="26"/>
        </w:rPr>
        <w:t xml:space="preserve">  Part 1 · The three estimates</w:t>
      </w:r>
      <w:r>
        <w:rPr>
          <w:b/>
          <w:bCs/>
          <w:color w:val="FFFFFF"/>
          <w:sz w:val="16"/>
          <w:szCs w:val="16"/>
        </w:rPr>
        <w:t xml:space="preserve">    and the one figure they fix</w:t>
      </w:r>
    </w:p>
    <w:p>
      <w:pPr>
        <w:spacing w:before="230" w:after="11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accumulated</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depreciable</w:t>
            </w:r>
            <w:r>
              <w:rPr>
                <w:b/>
                <w:bCs/>
                <w:color w:val="8186EF"/>
                <w:sz w:val="20"/>
                <w:szCs w:val="20"/>
              </w:rPr>
              <w:t xml:space="preserve">   ·   </w:t>
            </w:r>
            <w:r>
              <w:rPr>
                <w:b/>
                <w:bCs/>
                <w:sz w:val="20"/>
                <w:szCs w:val="20"/>
              </w:rPr>
              <w:t xml:space="preserve">life</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value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Every method needs the same three inputs. The first is what the machine </w:t>
      </w:r>
      <w:r>
        <w:rPr>
          <w:vertAlign w:val="superscript"/>
          <w:color w:val="353A7C"/>
          <w:b/>
          <w:sz w:val="16"/>
        </w:rPr>
        <w:t>1</w:t>
      </w:r>
      <w:r>
        <w:rPr>
          <w:u w:val="single"/>
          <w:sz w:val="21"/>
          <w:szCs w:val="21"/>
        </w:rPr>
        <w:t xml:space="preserve">         </w:t>
      </w:r>
      <w:r>
        <w:rPr>
          <w:sz w:val="21"/>
          <w:szCs w:val="21"/>
        </w:rPr>
        <w:t xml:space="preserve">, and it is the only one of the three that is a fact rather than a judgement.</w:t>
      </w:r>
    </w:p>
    <w:p>
      <w:pPr>
        <w:spacing w:before="40" w:after="110" w:line="300" w:lineRule="auto"/>
      </w:pPr>
      <w:r>
        <w:rPr>
          <w:sz w:val="21"/>
          <w:szCs w:val="21"/>
        </w:rPr>
        <w:t xml:space="preserve">The second is how long the company expects to use it, which is its useful </w:t>
      </w:r>
      <w:r>
        <w:rPr>
          <w:vertAlign w:val="superscript"/>
          <w:color w:val="353A7C"/>
          <w:b/>
          <w:sz w:val="16"/>
        </w:rPr>
        <w:t>2</w:t>
      </w:r>
      <w:r>
        <w:rPr>
          <w:u w:val="single"/>
          <w:sz w:val="21"/>
          <w:szCs w:val="21"/>
        </w:rPr>
        <w:t xml:space="preserve">         </w:t>
      </w:r>
      <w:r>
        <w:rPr>
          <w:sz w:val="21"/>
          <w:szCs w:val="21"/>
        </w:rPr>
        <w:t xml:space="preserve">. It is an estimate about this company’s own use, not a statement about how long such a machine could last.</w:t>
      </w:r>
    </w:p>
    <w:p>
      <w:pPr>
        <w:spacing w:before="40" w:after="110" w:line="300" w:lineRule="auto"/>
      </w:pPr>
      <w:r>
        <w:rPr>
          <w:sz w:val="21"/>
          <w:szCs w:val="21"/>
        </w:rPr>
        <w:t xml:space="preserve">The third is what the company expects to receive for the machine when it has finished with it, which is its </w:t>
      </w:r>
      <w:r>
        <w:rPr>
          <w:vertAlign w:val="superscript"/>
          <w:color w:val="353A7C"/>
          <w:b/>
          <w:sz w:val="16"/>
        </w:rPr>
        <w:t>3</w:t>
      </w:r>
      <w:r>
        <w:rPr>
          <w:u w:val="single"/>
          <w:sz w:val="21"/>
          <w:szCs w:val="21"/>
        </w:rPr>
        <w:t xml:space="preserve">               </w:t>
      </w:r>
      <w:r>
        <w:rPr>
          <w:sz w:val="21"/>
          <w:szCs w:val="21"/>
        </w:rPr>
        <w:t xml:space="preserve"> value.</w:t>
      </w:r>
    </w:p>
    <w:p>
      <w:pPr>
        <w:spacing w:before="40" w:after="110" w:line="300" w:lineRule="auto"/>
      </w:pPr>
      <w:r>
        <w:rPr>
          <w:sz w:val="21"/>
          <w:szCs w:val="21"/>
        </w:rPr>
        <w:t xml:space="preserve">Subtract the third from the first and you have the total every method must write off. That total is called the </w:t>
      </w:r>
      <w:r>
        <w:rPr>
          <w:vertAlign w:val="superscript"/>
          <w:color w:val="353A7C"/>
          <w:b/>
          <w:sz w:val="16"/>
        </w:rPr>
        <w:t>4</w:t>
      </w:r>
      <w:r>
        <w:rPr>
          <w:u w:val="single"/>
          <w:sz w:val="21"/>
          <w:szCs w:val="21"/>
        </w:rPr>
        <w:t xml:space="preserve">                   </w:t>
      </w:r>
      <w:r>
        <w:rPr>
          <w:sz w:val="21"/>
          <w:szCs w:val="21"/>
        </w:rPr>
        <w:t xml:space="preserve"> amount, and it is fixed before any method is chosen.</w:t>
      </w:r>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21050"/>
                    </a:xfrm>
                    <a:prstGeom prst="rect">
                      <a:avLst/>
                    </a:prstGeom>
                  </pic:spPr>
                </pic:pic>
              </a:graphicData>
            </a:graphic>
          </wp:inline>
        </w:drawing>
      </w:r>
    </w:p>
    <w:p>
      <w:pPr>
        <w:shd w:fill="353A7C" w:val="clear"/>
        <w:spacing w:after="80" w:before="230"/>
      </w:pPr>
      <w:r>
        <w:rPr>
          <w:b/>
          <w:bCs/>
          <w:color w:val="FFFFFF"/>
          <w:sz w:val="26"/>
          <w:szCs w:val="26"/>
        </w:rPr>
        <w:t xml:space="preserve">  Part 2 · Straight line</w:t>
      </w:r>
      <w:r>
        <w:rPr>
          <w:b/>
          <w:bCs/>
          <w:color w:val="FFFFFF"/>
          <w:sz w:val="16"/>
          <w:szCs w:val="16"/>
        </w:rPr>
        <w:t xml:space="preserve">    the same charge every year</w:t>
      </w:r>
    </w:p>
    <w:p>
      <w:pPr>
        <w:spacing w:before="230" w:after="40"/>
        <w:pBdr>
          <w:top w:val="single" w:sz="12" w:space="7" w:color="353A7C"/>
        </w:pBdr>
      </w:pPr>
      <w:r>
        <w:rPr>
          <w:b/>
          <w:bCs/>
          <w:color w:val="353A7C"/>
          <w:sz w:val="22"/>
          <w:szCs w:val="22"/>
        </w:rPr>
        <w:t xml:space="preserve">Exercise 1B   </w:t>
      </w:r>
      <w:r>
        <w:rPr>
          <w:b/>
          <w:bCs/>
          <w:sz w:val="21"/>
          <w:szCs w:val="21"/>
        </w:rPr>
        <w:t xml:space="preserve">Build the straight-line schedule. Year 1 is worked; complete years 2 to 5.</w:t>
      </w:r>
    </w:p>
    <w:p>
      <w:pPr>
        <w:spacing w:after="110"/>
      </w:pPr>
      <w:r>
        <w:rPr>
          <w:b/>
          <w:bCs/>
          <w:color w:val="6B7280"/>
          <w:sz w:val="17"/>
          <w:szCs w:val="17"/>
        </w:rPr>
        <w:t xml:space="preserve">First move:  </w:t>
      </w:r>
      <w:r>
        <w:rPr>
          <w:color w:val="6B7280"/>
          <w:sz w:val="17"/>
          <w:szCs w:val="17"/>
        </w:rPr>
        <w:t xml:space="preserve">The worked cell shows the division. Every later year repeats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
        <w:gridCol w:w="30"/>
        <w:gridCol w:w="30"/>
        <w:gridCol w:w="30"/>
      </w:tblGrid>
      <w:tr>
        <w:tc>
          <w:tcPr>
            <w:shd w:fill="1F6F8F" w:val="clear"/>
            <w:tcMar>
              <w:top w:type="dxa" w:w="60"/>
              <w:left w:type="dxa" w:w="120"/>
              <w:bottom w:type="dxa" w:w="60"/>
              <w:right w:type="dxa" w:w="120"/>
            </w:tcMar>
          </w:tcPr>
          <w:p>
            <w:r>
              <w:rPr>
                <w:b/>
                <w:bCs/>
                <w:color w:val="FFFFFF"/>
                <w:sz w:val="18"/>
                <w:szCs w:val="18"/>
              </w:rPr>
              <w:t xml:space="preserve">Year</w:t>
            </w:r>
          </w:p>
        </w:tc>
        <w:tc>
          <w:tcPr>
            <w:shd w:fill="1F6F8F" w:val="clear"/>
            <w:tcMar>
              <w:top w:type="dxa" w:w="60"/>
              <w:left w:type="dxa" w:w="120"/>
              <w:bottom w:type="dxa" w:w="60"/>
              <w:right w:type="dxa" w:w="120"/>
            </w:tcMar>
          </w:tcPr>
          <w:p>
            <w:r>
              <w:rPr>
                <w:b/>
                <w:bCs/>
                <w:color w:val="FFFFFF"/>
                <w:sz w:val="18"/>
                <w:szCs w:val="18"/>
              </w:rPr>
              <w:t xml:space="preserve">Charge for the year</w:t>
            </w:r>
          </w:p>
        </w:tc>
        <w:tc>
          <w:tcPr>
            <w:shd w:fill="1F6F8F" w:val="clear"/>
            <w:tcMar>
              <w:top w:type="dxa" w:w="60"/>
              <w:left w:type="dxa" w:w="120"/>
              <w:bottom w:type="dxa" w:w="60"/>
              <w:right w:type="dxa" w:w="120"/>
            </w:tcMar>
          </w:tcPr>
          <w:p>
            <w:r>
              <w:rPr>
                <w:b/>
                <w:bCs/>
                <w:color w:val="FFFFFF"/>
                <w:sz w:val="18"/>
                <w:szCs w:val="18"/>
              </w:rPr>
              <w:t xml:space="preserve">Accumulated depreciation</w:t>
            </w:r>
          </w:p>
        </w:tc>
        <w:tc>
          <w:tcPr>
            <w:shd w:fill="1F6F8F" w:val="clear"/>
            <w:tcMar>
              <w:top w:type="dxa" w:w="60"/>
              <w:left w:type="dxa" w:w="120"/>
              <w:bottom w:type="dxa" w:w="60"/>
              <w:right w:type="dxa" w:w="120"/>
            </w:tcMar>
          </w:tcPr>
          <w:p>
            <w:r>
              <w:rPr>
                <w:b/>
                <w:bCs/>
                <w:color w:val="FFFFFF"/>
                <w:sz w:val="18"/>
                <w:szCs w:val="18"/>
              </w:rPr>
              <w:t xml:space="preserve">Carrying amount at the year end</w:t>
            </w:r>
          </w:p>
        </w:tc>
      </w:tr>
      <w:tr>
        <w:tc>
          <w:tcPr>
            <w:shd w:fill="EFF0FB" w:val="clear"/>
            <w:tcMar>
              <w:top w:type="dxa" w:w="60"/>
              <w:left w:type="dxa" w:w="120"/>
              <w:bottom w:type="dxa" w:w="60"/>
              <w:right w:type="dxa" w:w="120"/>
            </w:tcMar>
          </w:tcPr>
          <w:p>
            <w:r>
              <w:rPr>
                <w:sz w:val="19"/>
                <w:szCs w:val="19"/>
              </w:rPr>
              <w:t xml:space="preserve">1</w:t>
            </w:r>
          </w:p>
        </w:tc>
        <w:tc>
          <w:tcPr>
            <w:shd w:fill="EFF0FB" w:val="clear"/>
            <w:tcMar>
              <w:top w:type="dxa" w:w="60"/>
              <w:left w:type="dxa" w:w="120"/>
              <w:bottom w:type="dxa" w:w="60"/>
              <w:right w:type="dxa" w:w="120"/>
            </w:tcMar>
          </w:tcPr>
          <w:p>
            <w:r>
              <w:rPr>
                <w:b/>
                <w:bCs/>
                <w:color w:val="23265A"/>
                <w:sz w:val="19"/>
                <w:szCs w:val="19"/>
              </w:rPr>
              <w:t xml:space="preserve">$90,000  =  $450,000 ÷ 5</w:t>
            </w:r>
          </w:p>
        </w:tc>
        <w:tc>
          <w:tcPr>
            <w:shd w:fill="EFF0FB" w:val="clear"/>
            <w:tcMar>
              <w:top w:type="dxa" w:w="60"/>
              <w:left w:type="dxa" w:w="120"/>
              <w:bottom w:type="dxa" w:w="60"/>
              <w:right w:type="dxa" w:w="120"/>
            </w:tcMar>
          </w:tcPr>
          <w:p>
            <w:r>
              <w:rPr>
                <w:b/>
                <w:bCs/>
                <w:color w:val="23265A"/>
                <w:sz w:val="19"/>
                <w:szCs w:val="19"/>
              </w:rPr>
              <w:t xml:space="preserve">$90,000</w:t>
            </w:r>
          </w:p>
        </w:tc>
        <w:tc>
          <w:tcPr>
            <w:shd w:fill="EFF0FB" w:val="clear"/>
            <w:tcMar>
              <w:top w:type="dxa" w:w="60"/>
              <w:left w:type="dxa" w:w="120"/>
              <w:bottom w:type="dxa" w:w="60"/>
              <w:right w:type="dxa" w:w="120"/>
            </w:tcMar>
          </w:tcPr>
          <w:p>
            <w:r>
              <w:rPr>
                <w:b/>
                <w:bCs/>
                <w:color w:val="23265A"/>
                <w:sz w:val="19"/>
                <w:szCs w:val="19"/>
              </w:rPr>
              <w:t xml:space="preserve">$410,000</w:t>
            </w:r>
          </w:p>
        </w:tc>
      </w:tr>
      <w:tr>
        <w:tc>
          <w:tcPr>
            <w:tcMar>
              <w:top w:type="dxa" w:w="60"/>
              <w:left w:type="dxa" w:w="120"/>
              <w:bottom w:type="dxa" w:w="60"/>
              <w:right w:type="dxa" w:w="120"/>
            </w:tcMar>
          </w:tcPr>
          <w:p>
            <w:r>
              <w:rPr>
                <w:sz w:val="19"/>
                <w:szCs w:val="19"/>
              </w:rPr>
              <w:t xml:space="preserve">2</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3</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4</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5</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Twelve cells. The charge column never changes; the other two move every year.</w:t>
      </w:r>
    </w:p>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Double declining balance</w:t>
      </w:r>
      <w:r>
        <w:rPr>
          <w:b/>
          <w:bCs/>
          <w:color w:val="FFFFFF"/>
          <w:sz w:val="16"/>
          <w:szCs w:val="16"/>
        </w:rPr>
        <w:t xml:space="preserve">    a fixed rate on a falling amount</w:t>
      </w:r>
    </w:p>
    <w:p>
      <w:pPr>
        <w:spacing w:before="40" w:after="110" w:line="300" w:lineRule="auto"/>
      </w:pPr>
      <w:r>
        <w:rPr>
          <w:b/>
          <w:color w:val="2B6CB0"/>
          <w:sz w:val="13"/>
        </w:rPr>
        <w:t xml:space="preserve">R2  </w:t>
      </w:r>
      <w:r>
        <w:rPr>
          <w:sz w:val="21"/>
          <w:szCs w:val="21"/>
        </w:rPr>
        <w:t xml:space="preserve">This method takes twice the straight-line rate and applies it to the carrying amount rather than to the depreciable amount. Because the carrying amount falls every year, the charge falls with it. Residual value is not in the formula at all.</w:t>
      </w:r>
    </w:p>
    <w:p>
      <w:pPr>
        <w:spacing w:before="230" w:after="40"/>
        <w:pBdr>
          <w:top w:val="single" w:sz="12" w:space="7" w:color="353A7C"/>
        </w:pBdr>
      </w:pPr>
      <w:r>
        <w:rPr>
          <w:b/>
          <w:bCs/>
          <w:color w:val="353A7C"/>
          <w:sz w:val="22"/>
          <w:szCs w:val="22"/>
        </w:rPr>
        <w:t xml:space="preserve">Exercise 1C   </w:t>
      </w:r>
      <w:r>
        <w:rPr>
          <w:b/>
          <w:bCs/>
          <w:sz w:val="21"/>
          <w:szCs w:val="21"/>
        </w:rPr>
        <w:t xml:space="preserve">Build the double declining balance schedule. Year 1 is worked; complete years 2 to 5.</w:t>
      </w:r>
    </w:p>
    <w:p>
      <w:pPr>
        <w:spacing w:after="110"/>
      </w:pPr>
      <w:r>
        <w:rPr>
          <w:b/>
          <w:bCs/>
          <w:color w:val="6B7280"/>
          <w:sz w:val="17"/>
          <w:szCs w:val="17"/>
        </w:rPr>
        <w:t xml:space="preserve">First move:  </w:t>
      </w:r>
      <w:r>
        <w:rPr>
          <w:color w:val="6B7280"/>
          <w:sz w:val="17"/>
          <w:szCs w:val="17"/>
        </w:rPr>
        <w:t xml:space="preserve">Each year’s opening figure is the previous year’s closing figure.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
        <w:gridCol w:w="30"/>
        <w:gridCol w:w="30"/>
        <w:gridCol w:w="30"/>
      </w:tblGrid>
      <w:tr>
        <w:tc>
          <w:tcPr>
            <w:shd w:fill="A05A2B" w:val="clear"/>
            <w:tcMar>
              <w:top w:type="dxa" w:w="60"/>
              <w:left w:type="dxa" w:w="120"/>
              <w:bottom w:type="dxa" w:w="60"/>
              <w:right w:type="dxa" w:w="120"/>
            </w:tcMar>
          </w:tcPr>
          <w:p>
            <w:r>
              <w:rPr>
                <w:b/>
                <w:bCs/>
                <w:color w:val="FFFFFF"/>
                <w:sz w:val="18"/>
                <w:szCs w:val="18"/>
              </w:rPr>
              <w:t xml:space="preserve">Year</w:t>
            </w:r>
          </w:p>
        </w:tc>
        <w:tc>
          <w:tcPr>
            <w:shd w:fill="A05A2B" w:val="clear"/>
            <w:tcMar>
              <w:top w:type="dxa" w:w="60"/>
              <w:left w:type="dxa" w:w="120"/>
              <w:bottom w:type="dxa" w:w="60"/>
              <w:right w:type="dxa" w:w="120"/>
            </w:tcMar>
          </w:tcPr>
          <w:p>
            <w:r>
              <w:rPr>
                <w:b/>
                <w:bCs/>
                <w:color w:val="FFFFFF"/>
                <w:sz w:val="18"/>
                <w:szCs w:val="18"/>
              </w:rPr>
              <w:t xml:space="preserve">Carrying amount at the start</w:t>
            </w:r>
          </w:p>
        </w:tc>
        <w:tc>
          <w:tcPr>
            <w:shd w:fill="A05A2B" w:val="clear"/>
            <w:tcMar>
              <w:top w:type="dxa" w:w="60"/>
              <w:left w:type="dxa" w:w="120"/>
              <w:bottom w:type="dxa" w:w="60"/>
              <w:right w:type="dxa" w:w="120"/>
            </w:tcMar>
          </w:tcPr>
          <w:p>
            <w:r>
              <w:rPr>
                <w:b/>
                <w:bCs/>
                <w:color w:val="FFFFFF"/>
                <w:sz w:val="18"/>
                <w:szCs w:val="18"/>
              </w:rPr>
              <w:t xml:space="preserve">Charge for the year</w:t>
            </w:r>
          </w:p>
        </w:tc>
        <w:tc>
          <w:tcPr>
            <w:shd w:fill="A05A2B" w:val="clear"/>
            <w:tcMar>
              <w:top w:type="dxa" w:w="60"/>
              <w:left w:type="dxa" w:w="120"/>
              <w:bottom w:type="dxa" w:w="60"/>
              <w:right w:type="dxa" w:w="120"/>
            </w:tcMar>
          </w:tcPr>
          <w:p>
            <w:r>
              <w:rPr>
                <w:b/>
                <w:bCs/>
                <w:color w:val="FFFFFF"/>
                <w:sz w:val="18"/>
                <w:szCs w:val="18"/>
              </w:rPr>
              <w:t xml:space="preserve">Carrying amount at the year end</w:t>
            </w:r>
          </w:p>
        </w:tc>
      </w:tr>
      <w:tr>
        <w:tc>
          <w:tcPr>
            <w:shd w:fill="EFF0FB" w:val="clear"/>
            <w:tcMar>
              <w:top w:type="dxa" w:w="60"/>
              <w:left w:type="dxa" w:w="120"/>
              <w:bottom w:type="dxa" w:w="60"/>
              <w:right w:type="dxa" w:w="120"/>
            </w:tcMar>
          </w:tcPr>
          <w:p>
            <w:r>
              <w:rPr>
                <w:sz w:val="19"/>
                <w:szCs w:val="19"/>
              </w:rPr>
              <w:t xml:space="preserve">1</w:t>
            </w:r>
          </w:p>
        </w:tc>
        <w:tc>
          <w:tcPr>
            <w:shd w:fill="EFF0FB" w:val="clear"/>
            <w:tcMar>
              <w:top w:type="dxa" w:w="60"/>
              <w:left w:type="dxa" w:w="120"/>
              <w:bottom w:type="dxa" w:w="60"/>
              <w:right w:type="dxa" w:w="120"/>
            </w:tcMar>
          </w:tcPr>
          <w:p>
            <w:r>
              <w:rPr>
                <w:b/>
                <w:bCs/>
                <w:color w:val="23265A"/>
                <w:sz w:val="19"/>
                <w:szCs w:val="19"/>
              </w:rPr>
              <w:t xml:space="preserve">$500,000</w:t>
            </w:r>
          </w:p>
        </w:tc>
        <w:tc>
          <w:tcPr>
            <w:shd w:fill="EFF0FB" w:val="clear"/>
            <w:tcMar>
              <w:top w:type="dxa" w:w="60"/>
              <w:left w:type="dxa" w:w="120"/>
              <w:bottom w:type="dxa" w:w="60"/>
              <w:right w:type="dxa" w:w="120"/>
            </w:tcMar>
          </w:tcPr>
          <w:p>
            <w:r>
              <w:rPr>
                <w:b/>
                <w:bCs/>
                <w:color w:val="23265A"/>
                <w:sz w:val="19"/>
                <w:szCs w:val="19"/>
              </w:rPr>
              <w:t xml:space="preserve">$200,000  =  40% × $500,000</w:t>
            </w:r>
          </w:p>
        </w:tc>
        <w:tc>
          <w:tcPr>
            <w:shd w:fill="EFF0FB" w:val="clear"/>
            <w:tcMar>
              <w:top w:type="dxa" w:w="60"/>
              <w:left w:type="dxa" w:w="120"/>
              <w:bottom w:type="dxa" w:w="60"/>
              <w:right w:type="dxa" w:w="120"/>
            </w:tcMar>
          </w:tcPr>
          <w:p>
            <w:r>
              <w:rPr>
                <w:b/>
                <w:bCs/>
                <w:color w:val="23265A"/>
                <w:sz w:val="19"/>
                <w:szCs w:val="19"/>
              </w:rPr>
              <w:t xml:space="preserve">$300,000</w:t>
            </w:r>
          </w:p>
        </w:tc>
      </w:tr>
      <w:tr>
        <w:tc>
          <w:tcPr>
            <w:tcMar>
              <w:top w:type="dxa" w:w="60"/>
              <w:left w:type="dxa" w:w="120"/>
              <w:bottom w:type="dxa" w:w="60"/>
              <w:right w:type="dxa" w:w="120"/>
            </w:tcMar>
          </w:tcPr>
          <w:p>
            <w:r>
              <w:rPr>
                <w:sz w:val="19"/>
                <w:szCs w:val="19"/>
              </w:rPr>
              <w:t xml:space="preserve">2</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3</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4</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5</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One of the five years cannot use the formula. Work down the column and you will find which, and Exercise 1D asks you why.</w:t>
      </w:r>
    </w:p>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402200"/>
                    </a:xfrm>
                    <a:prstGeom prst="rect">
                      <a:avLst/>
                    </a:prstGeom>
                  </pic:spPr>
                </pic:pic>
              </a:graphicData>
            </a:graphic>
          </wp:inline>
        </w:drawing>
      </w:r>
    </w:p>
    <w:p>
      <w:pPr>
        <w:spacing w:before="230" w:after="110"/>
        <w:pBdr>
          <w:top w:val="single" w:sz="12" w:space="7" w:color="353A7C"/>
        </w:pBdr>
      </w:pPr>
      <w:r>
        <w:rPr>
          <w:b/>
          <w:bCs/>
          <w:color w:val="353A7C"/>
          <w:sz w:val="22"/>
          <w:szCs w:val="22"/>
        </w:rPr>
        <w:t xml:space="preserve">Exercise 1D   </w:t>
      </w:r>
      <w:r>
        <w:rPr>
          <w:b/>
          <w:bCs/>
          <w:sz w:val="21"/>
          <w:szCs w:val="21"/>
        </w:rPr>
        <w:t xml:space="preserve">Read and complete. Write one word in each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accelerated</w:t>
            </w:r>
            <w:r>
              <w:rPr>
                <w:b/>
                <w:bCs/>
                <w:color w:val="8186EF"/>
                <w:sz w:val="20"/>
                <w:szCs w:val="20"/>
              </w:rPr>
              <w:t xml:space="preserve">   ·   </w:t>
            </w:r>
            <w:r>
              <w:rPr>
                <w:b/>
                <w:bCs/>
                <w:sz w:val="20"/>
                <w:szCs w:val="20"/>
              </w:rPr>
              <w:t xml:space="preserve">amount</w:t>
            </w:r>
            <w:r>
              <w:rPr>
                <w:b/>
                <w:bCs/>
                <w:color w:val="8186EF"/>
                <w:sz w:val="20"/>
                <w:szCs w:val="20"/>
              </w:rPr>
              <w:t xml:space="preserve">   ·   </w:t>
            </w:r>
            <w:r>
              <w:rPr>
                <w:b/>
                <w:bCs/>
                <w:sz w:val="20"/>
                <w:szCs w:val="20"/>
              </w:rPr>
              <w:t xml:space="preserve">capped</w:t>
            </w:r>
            <w:r>
              <w:rPr>
                <w:b/>
                <w:bCs/>
                <w:color w:val="8186EF"/>
                <w:sz w:val="20"/>
                <w:szCs w:val="20"/>
              </w:rPr>
              <w:t xml:space="preserve">   ·   </w:t>
            </w:r>
            <w:r>
              <w:rPr>
                <w:b/>
                <w:bCs/>
                <w:sz w:val="20"/>
                <w:szCs w:val="20"/>
              </w:rPr>
              <w:t xml:space="preserve">depreciable</w:t>
            </w:r>
            <w:r>
              <w:rPr>
                <w:b/>
                <w:bCs/>
                <w:color w:val="8186EF"/>
                <w:sz w:val="20"/>
                <w:szCs w:val="20"/>
              </w:rPr>
              <w:t xml:space="preserve">   ·   </w:t>
            </w:r>
            <w:r>
              <w:rPr>
                <w:b/>
                <w:bCs/>
                <w:sz w:val="20"/>
                <w:szCs w:val="20"/>
              </w:rPr>
              <w:t xml:space="preserve">end</w:t>
            </w:r>
            <w:r>
              <w:rPr>
                <w:b/>
                <w:bCs/>
                <w:color w:val="8186EF"/>
                <w:sz w:val="20"/>
                <w:szCs w:val="20"/>
              </w:rPr>
              <w:t xml:space="preserve">   ·   </w:t>
            </w:r>
            <w:r>
              <w:rPr>
                <w:b/>
                <w:bCs/>
                <w:sz w:val="20"/>
                <w:szCs w:val="20"/>
              </w:rPr>
              <w:t xml:space="preserve">even</w:t>
            </w:r>
            <w:r>
              <w:rPr>
                <w:b/>
                <w:bCs/>
                <w:color w:val="8186EF"/>
                <w:sz w:val="20"/>
                <w:szCs w:val="20"/>
              </w:rPr>
              <w:t xml:space="preserve">   ·   </w:t>
            </w:r>
            <w:r>
              <w:rPr>
                <w:b/>
                <w:bCs/>
                <w:sz w:val="20"/>
                <w:szCs w:val="20"/>
              </w:rPr>
              <w:t xml:space="preserve">ignored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Double declining balance is called an </w:t>
      </w:r>
      <w:r>
        <w:rPr>
          <w:vertAlign w:val="superscript"/>
          <w:color w:val="353A7C"/>
          <w:b/>
          <w:sz w:val="16"/>
        </w:rPr>
        <w:t>5</w:t>
      </w:r>
      <w:r>
        <w:rPr>
          <w:u w:val="single"/>
          <w:sz w:val="21"/>
          <w:szCs w:val="21"/>
        </w:rPr>
        <w:t xml:space="preserve">                   </w:t>
      </w:r>
      <w:r>
        <w:rPr>
          <w:sz w:val="21"/>
          <w:szCs w:val="21"/>
        </w:rPr>
        <w:t xml:space="preserve"> method, because it puts more of the charge into the early years and less into the late ones.</w:t>
      </w:r>
    </w:p>
    <w:p>
      <w:pPr>
        <w:spacing w:before="40" w:after="110" w:line="300" w:lineRule="auto"/>
      </w:pPr>
      <w:r>
        <w:rPr>
          <w:sz w:val="21"/>
          <w:szCs w:val="21"/>
        </w:rPr>
        <w:t xml:space="preserve">It does that by applying a fixed rate to the carrying </w:t>
      </w:r>
      <w:r>
        <w:rPr>
          <w:vertAlign w:val="superscript"/>
          <w:color w:val="353A7C"/>
          <w:b/>
          <w:sz w:val="16"/>
        </w:rPr>
        <w:t>6</w:t>
      </w:r>
      <w:r>
        <w:rPr>
          <w:u w:val="single"/>
          <w:sz w:val="21"/>
          <w:szCs w:val="21"/>
        </w:rPr>
        <w:t xml:space="preserve">            </w:t>
      </w:r>
      <w:r>
        <w:rPr>
          <w:sz w:val="21"/>
          <w:szCs w:val="21"/>
        </w:rPr>
        <w:t xml:space="preserve">, which falls every year, rather than to the depreciable amount, which does not.</w:t>
      </w:r>
    </w:p>
    <w:p>
      <w:pPr>
        <w:spacing w:before="40" w:after="110" w:line="300" w:lineRule="auto"/>
      </w:pPr>
      <w:r>
        <w:rPr>
          <w:sz w:val="21"/>
          <w:szCs w:val="21"/>
        </w:rPr>
        <w:t xml:space="preserve">The formula never mentions the residual value. Every other method deducts it before anything is spread; this one leaves it out and deals with it only at the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That is why one year in your schedule is different. No method may take an asset below its residual value, so in that year the charge is </w:t>
      </w:r>
      <w:r>
        <w:rPr>
          <w:vertAlign w:val="superscript"/>
          <w:color w:val="353A7C"/>
          <w:b/>
          <w:sz w:val="16"/>
        </w:rPr>
        <w:t>8</w:t>
      </w:r>
      <w:r>
        <w:rPr>
          <w:u w:val="single"/>
          <w:sz w:val="21"/>
          <w:szCs w:val="21"/>
        </w:rPr>
        <w:t xml:space="preserve">            </w:t>
      </w:r>
      <w:r>
        <w:rPr>
          <w:sz w:val="21"/>
          <w:szCs w:val="21"/>
        </w:rPr>
        <w:t xml:space="preserve"> at whatever remains above it.</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Sum of the years’ digits</w:t>
      </w:r>
      <w:r>
        <w:rPr>
          <w:b/>
          <w:bCs/>
          <w:color w:val="FFFFFF"/>
          <w:sz w:val="16"/>
          <w:szCs w:val="16"/>
        </w:rPr>
        <w:t xml:space="preserve">    the other accelerated method</w:t>
      </w:r>
    </w:p>
    <w:p>
      <w:pPr>
        <w:spacing w:before="230" w:after="40"/>
        <w:pBdr>
          <w:top w:val="single" w:sz="12" w:space="7" w:color="353A7C"/>
        </w:pBdr>
      </w:pPr>
      <w:r>
        <w:rPr>
          <w:b/>
          <w:bCs/>
          <w:color w:val="353A7C"/>
          <w:sz w:val="22"/>
          <w:szCs w:val="22"/>
        </w:rPr>
        <w:t xml:space="preserve">Exercise 1E   </w:t>
      </w:r>
      <w:r>
        <w:rPr>
          <w:b/>
          <w:bCs/>
          <w:sz w:val="21"/>
          <w:szCs w:val="21"/>
        </w:rPr>
        <w:t xml:space="preserve">Build the sum of the years’ digits schedule. Year 1 is worked; complete years 2 to 5.</w:t>
      </w:r>
    </w:p>
    <w:p>
      <w:pPr>
        <w:spacing w:after="110"/>
      </w:pPr>
      <w:r>
        <w:rPr>
          <w:b/>
          <w:bCs/>
          <w:color w:val="6B7280"/>
          <w:sz w:val="17"/>
          <w:szCs w:val="17"/>
        </w:rPr>
        <w:t xml:space="preserve">First move:  </w:t>
      </w:r>
      <w:r>
        <w:rPr>
          <w:color w:val="6B7280"/>
          <w:sz w:val="17"/>
          <w:szCs w:val="17"/>
        </w:rPr>
        <w:t xml:space="preserve">The denominator is the digits of the life added together. The numerator counts down.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
        <w:gridCol w:w="20"/>
        <w:gridCol w:w="40"/>
        <w:gridCol w:w="30"/>
      </w:tblGrid>
      <w:tr>
        <w:tc>
          <w:tcPr>
            <w:shd w:fill="6D3F7E" w:val="clear"/>
            <w:tcMar>
              <w:top w:type="dxa" w:w="60"/>
              <w:left w:type="dxa" w:w="120"/>
              <w:bottom w:type="dxa" w:w="60"/>
              <w:right w:type="dxa" w:w="120"/>
            </w:tcMar>
          </w:tcPr>
          <w:p>
            <w:r>
              <w:rPr>
                <w:b/>
                <w:bCs/>
                <w:color w:val="FFFFFF"/>
                <w:sz w:val="18"/>
                <w:szCs w:val="18"/>
              </w:rPr>
              <w:t xml:space="preserve">Year</w:t>
            </w:r>
          </w:p>
        </w:tc>
        <w:tc>
          <w:tcPr>
            <w:shd w:fill="6D3F7E" w:val="clear"/>
            <w:tcMar>
              <w:top w:type="dxa" w:w="60"/>
              <w:left w:type="dxa" w:w="120"/>
              <w:bottom w:type="dxa" w:w="60"/>
              <w:right w:type="dxa" w:w="120"/>
            </w:tcMar>
          </w:tcPr>
          <w:p>
            <w:r>
              <w:rPr>
                <w:b/>
                <w:bCs/>
                <w:color w:val="FFFFFF"/>
                <w:sz w:val="18"/>
                <w:szCs w:val="18"/>
              </w:rPr>
              <w:t xml:space="preserve">Fraction</w:t>
            </w:r>
          </w:p>
        </w:tc>
        <w:tc>
          <w:tcPr>
            <w:shd w:fill="6D3F7E" w:val="clear"/>
            <w:tcMar>
              <w:top w:type="dxa" w:w="60"/>
              <w:left w:type="dxa" w:w="120"/>
              <w:bottom w:type="dxa" w:w="60"/>
              <w:right w:type="dxa" w:w="120"/>
            </w:tcMar>
          </w:tcPr>
          <w:p>
            <w:r>
              <w:rPr>
                <w:b/>
                <w:bCs/>
                <w:color w:val="FFFFFF"/>
                <w:sz w:val="18"/>
                <w:szCs w:val="18"/>
              </w:rPr>
              <w:t xml:space="preserve">Charge for the year</w:t>
            </w:r>
          </w:p>
        </w:tc>
        <w:tc>
          <w:tcPr>
            <w:shd w:fill="6D3F7E" w:val="clear"/>
            <w:tcMar>
              <w:top w:type="dxa" w:w="60"/>
              <w:left w:type="dxa" w:w="120"/>
              <w:bottom w:type="dxa" w:w="60"/>
              <w:right w:type="dxa" w:w="120"/>
            </w:tcMar>
          </w:tcPr>
          <w:p>
            <w:r>
              <w:rPr>
                <w:b/>
                <w:bCs/>
                <w:color w:val="FFFFFF"/>
                <w:sz w:val="18"/>
                <w:szCs w:val="18"/>
              </w:rPr>
              <w:t xml:space="preserve">Carrying amount at the year end</w:t>
            </w:r>
          </w:p>
        </w:tc>
      </w:tr>
      <w:tr>
        <w:tc>
          <w:tcPr>
            <w:shd w:fill="EFF0FB" w:val="clear"/>
            <w:tcMar>
              <w:top w:type="dxa" w:w="60"/>
              <w:left w:type="dxa" w:w="120"/>
              <w:bottom w:type="dxa" w:w="60"/>
              <w:right w:type="dxa" w:w="120"/>
            </w:tcMar>
          </w:tcPr>
          <w:p>
            <w:r>
              <w:rPr>
                <w:sz w:val="19"/>
                <w:szCs w:val="19"/>
              </w:rPr>
              <w:t xml:space="preserve">1</w:t>
            </w:r>
          </w:p>
        </w:tc>
        <w:tc>
          <w:tcPr>
            <w:shd w:fill="EFF0FB" w:val="clear"/>
            <w:tcMar>
              <w:top w:type="dxa" w:w="60"/>
              <w:left w:type="dxa" w:w="120"/>
              <w:bottom w:type="dxa" w:w="60"/>
              <w:right w:type="dxa" w:w="120"/>
            </w:tcMar>
          </w:tcPr>
          <w:p>
            <w:r>
              <w:rPr>
                <w:b/>
                <w:bCs/>
                <w:color w:val="23265A"/>
                <w:sz w:val="19"/>
                <w:szCs w:val="19"/>
              </w:rPr>
              <w:t xml:space="preserve">5 / 15</w:t>
            </w:r>
          </w:p>
        </w:tc>
        <w:tc>
          <w:tcPr>
            <w:shd w:fill="EFF0FB" w:val="clear"/>
            <w:tcMar>
              <w:top w:type="dxa" w:w="60"/>
              <w:left w:type="dxa" w:w="120"/>
              <w:bottom w:type="dxa" w:w="60"/>
              <w:right w:type="dxa" w:w="120"/>
            </w:tcMar>
          </w:tcPr>
          <w:p>
            <w:r>
              <w:rPr>
                <w:b/>
                <w:bCs/>
                <w:color w:val="23265A"/>
                <w:sz w:val="19"/>
                <w:szCs w:val="19"/>
              </w:rPr>
              <w:t xml:space="preserve">$150,000  =  5/15 × $450,000</w:t>
            </w:r>
          </w:p>
        </w:tc>
        <w:tc>
          <w:tcPr>
            <w:shd w:fill="EFF0FB" w:val="clear"/>
            <w:tcMar>
              <w:top w:type="dxa" w:w="60"/>
              <w:left w:type="dxa" w:w="120"/>
              <w:bottom w:type="dxa" w:w="60"/>
              <w:right w:type="dxa" w:w="120"/>
            </w:tcMar>
          </w:tcPr>
          <w:p>
            <w:r>
              <w:rPr>
                <w:b/>
                <w:bCs/>
                <w:color w:val="23265A"/>
                <w:sz w:val="19"/>
                <w:szCs w:val="19"/>
              </w:rPr>
              <w:t xml:space="preserve">$350,000</w:t>
            </w:r>
          </w:p>
        </w:tc>
      </w:tr>
      <w:tr>
        <w:tc>
          <w:tcPr>
            <w:tcMar>
              <w:top w:type="dxa" w:w="60"/>
              <w:left w:type="dxa" w:w="120"/>
              <w:bottom w:type="dxa" w:w="60"/>
              <w:right w:type="dxa" w:w="120"/>
            </w:tcMar>
          </w:tcPr>
          <w:p>
            <w:r>
              <w:rPr>
                <w:sz w:val="19"/>
                <w:szCs w:val="19"/>
              </w:rPr>
              <w:t xml:space="preserve">2</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3</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4</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5</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Unlike the previous method, this one applies its fraction to the depreciable amount, so the residual value is handled at the start and never constrains the last year.</w:t>
      </w:r>
    </w:p>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5 · Units of production</w:t>
      </w:r>
      <w:r>
        <w:rPr>
          <w:b/>
          <w:bCs/>
          <w:color w:val="FFFFFF"/>
          <w:sz w:val="16"/>
          <w:szCs w:val="16"/>
        </w:rPr>
        <w:t xml:space="preserve">    when time is not what wears it out</w:t>
      </w:r>
    </w:p>
    <w:p>
      <w:pPr>
        <w:spacing w:before="230" w:after="40"/>
        <w:pBdr>
          <w:top w:val="single" w:sz="12" w:space="7" w:color="353A7C"/>
        </w:pBdr>
      </w:pPr>
      <w:r>
        <w:rPr>
          <w:b/>
          <w:bCs/>
          <w:color w:val="353A7C"/>
          <w:sz w:val="22"/>
          <w:szCs w:val="22"/>
        </w:rPr>
        <w:t xml:space="preserve">Exercise 1F   </w:t>
      </w:r>
      <w:r>
        <w:rPr>
          <w:b/>
          <w:bCs/>
          <w:sz w:val="21"/>
          <w:szCs w:val="21"/>
        </w:rPr>
        <w:t xml:space="preserve">Build the units of production schedule. Year 1 is worked; complete years 2 to 5.</w:t>
      </w:r>
    </w:p>
    <w:p>
      <w:pPr>
        <w:spacing w:after="110"/>
      </w:pPr>
      <w:r>
        <w:rPr>
          <w:b/>
          <w:bCs/>
          <w:color w:val="6B7280"/>
          <w:sz w:val="17"/>
          <w:szCs w:val="17"/>
        </w:rPr>
        <w:t xml:space="preserve">First move:  </w:t>
      </w:r>
      <w:r>
        <w:rPr>
          <w:color w:val="6B7280"/>
          <w:sz w:val="17"/>
          <w:szCs w:val="17"/>
        </w:rPr>
        <w:t xml:space="preserve">Find the rate per unit first: the depreciable amount over the total units expected.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
        <w:gridCol w:w="24"/>
        <w:gridCol w:w="36"/>
        <w:gridCol w:w="30"/>
      </w:tblGrid>
      <w:tr>
        <w:tc>
          <w:tcPr>
            <w:shd w:fill="2E7D5B" w:val="clear"/>
            <w:tcMar>
              <w:top w:type="dxa" w:w="60"/>
              <w:left w:type="dxa" w:w="120"/>
              <w:bottom w:type="dxa" w:w="60"/>
              <w:right w:type="dxa" w:w="120"/>
            </w:tcMar>
          </w:tcPr>
          <w:p>
            <w:r>
              <w:rPr>
                <w:b/>
                <w:bCs/>
                <w:color w:val="FFFFFF"/>
                <w:sz w:val="18"/>
                <w:szCs w:val="18"/>
              </w:rPr>
              <w:t xml:space="preserve">Year</w:t>
            </w:r>
          </w:p>
        </w:tc>
        <w:tc>
          <w:tcPr>
            <w:shd w:fill="2E7D5B" w:val="clear"/>
            <w:tcMar>
              <w:top w:type="dxa" w:w="60"/>
              <w:left w:type="dxa" w:w="120"/>
              <w:bottom w:type="dxa" w:w="60"/>
              <w:right w:type="dxa" w:w="120"/>
            </w:tcMar>
          </w:tcPr>
          <w:p>
            <w:r>
              <w:rPr>
                <w:b/>
                <w:bCs/>
                <w:color w:val="FFFFFF"/>
                <w:sz w:val="18"/>
                <w:szCs w:val="18"/>
              </w:rPr>
              <w:t xml:space="preserve">Units produced</w:t>
            </w:r>
          </w:p>
        </w:tc>
        <w:tc>
          <w:tcPr>
            <w:shd w:fill="2E7D5B" w:val="clear"/>
            <w:tcMar>
              <w:top w:type="dxa" w:w="60"/>
              <w:left w:type="dxa" w:w="120"/>
              <w:bottom w:type="dxa" w:w="60"/>
              <w:right w:type="dxa" w:w="120"/>
            </w:tcMar>
          </w:tcPr>
          <w:p>
            <w:r>
              <w:rPr>
                <w:b/>
                <w:bCs/>
                <w:color w:val="FFFFFF"/>
                <w:sz w:val="18"/>
                <w:szCs w:val="18"/>
              </w:rPr>
              <w:t xml:space="preserve">Charge for the year</w:t>
            </w:r>
          </w:p>
        </w:tc>
        <w:tc>
          <w:tcPr>
            <w:shd w:fill="2E7D5B" w:val="clear"/>
            <w:tcMar>
              <w:top w:type="dxa" w:w="60"/>
              <w:left w:type="dxa" w:w="120"/>
              <w:bottom w:type="dxa" w:w="60"/>
              <w:right w:type="dxa" w:w="120"/>
            </w:tcMar>
          </w:tcPr>
          <w:p>
            <w:r>
              <w:rPr>
                <w:b/>
                <w:bCs/>
                <w:color w:val="FFFFFF"/>
                <w:sz w:val="18"/>
                <w:szCs w:val="18"/>
              </w:rPr>
              <w:t xml:space="preserve">Carrying amount at the year end</w:t>
            </w:r>
          </w:p>
        </w:tc>
      </w:tr>
      <w:tr>
        <w:tc>
          <w:tcPr>
            <w:shd w:fill="EFF0FB" w:val="clear"/>
            <w:tcMar>
              <w:top w:type="dxa" w:w="60"/>
              <w:left w:type="dxa" w:w="120"/>
              <w:bottom w:type="dxa" w:w="60"/>
              <w:right w:type="dxa" w:w="120"/>
            </w:tcMar>
          </w:tcPr>
          <w:p>
            <w:r>
              <w:rPr>
                <w:sz w:val="19"/>
                <w:szCs w:val="19"/>
              </w:rPr>
              <w:t xml:space="preserve">1</w:t>
            </w:r>
          </w:p>
        </w:tc>
        <w:tc>
          <w:tcPr>
            <w:shd w:fill="EFF0FB" w:val="clear"/>
            <w:tcMar>
              <w:top w:type="dxa" w:w="60"/>
              <w:left w:type="dxa" w:w="120"/>
              <w:bottom w:type="dxa" w:w="60"/>
              <w:right w:type="dxa" w:w="120"/>
            </w:tcMar>
          </w:tcPr>
          <w:p>
            <w:r>
              <w:rPr>
                <w:b/>
                <w:bCs/>
                <w:color w:val="23265A"/>
                <w:sz w:val="19"/>
                <w:szCs w:val="19"/>
              </w:rPr>
              <w:t xml:space="preserve">240,000</w:t>
            </w:r>
          </w:p>
        </w:tc>
        <w:tc>
          <w:tcPr>
            <w:shd w:fill="EFF0FB" w:val="clear"/>
            <w:tcMar>
              <w:top w:type="dxa" w:w="60"/>
              <w:left w:type="dxa" w:w="120"/>
              <w:bottom w:type="dxa" w:w="60"/>
              <w:right w:type="dxa" w:w="120"/>
            </w:tcMar>
          </w:tcPr>
          <w:p>
            <w:r>
              <w:rPr>
                <w:b/>
                <w:bCs/>
                <w:color w:val="23265A"/>
                <w:sz w:val="19"/>
                <w:szCs w:val="19"/>
              </w:rPr>
              <w:t xml:space="preserve">$120,000  =  240,000 × $0.50</w:t>
            </w:r>
          </w:p>
        </w:tc>
        <w:tc>
          <w:tcPr>
            <w:shd w:fill="EFF0FB" w:val="clear"/>
            <w:tcMar>
              <w:top w:type="dxa" w:w="60"/>
              <w:left w:type="dxa" w:w="120"/>
              <w:bottom w:type="dxa" w:w="60"/>
              <w:right w:type="dxa" w:w="120"/>
            </w:tcMar>
          </w:tcPr>
          <w:p>
            <w:r>
              <w:rPr>
                <w:b/>
                <w:bCs/>
                <w:color w:val="23265A"/>
                <w:sz w:val="19"/>
                <w:szCs w:val="19"/>
              </w:rPr>
              <w:t xml:space="preserve">$380,000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210,000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180,000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150,000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120,000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The units column is given. The rate per unit is not, and the worked row shows it in use.</w:t>
      </w:r>
    </w:p>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6 · The four, side by side</w:t>
      </w:r>
      <w:r>
        <w:rPr>
          <w:b/>
          <w:bCs/>
          <w:color w:val="FFFFFF"/>
          <w:sz w:val="16"/>
          <w:szCs w:val="16"/>
        </w:rPr>
        <w:t xml:space="preserve">    and what each one assumes</w:t>
      </w:r>
    </w:p>
    <w:p>
      <w:pPr>
        <w:spacing w:before="230" w:after="40"/>
        <w:pBdr>
          <w:top w:val="single" w:sz="12" w:space="7" w:color="353A7C"/>
        </w:pBdr>
      </w:pPr>
      <w:r>
        <w:rPr>
          <w:b/>
          <w:bCs/>
          <w:color w:val="353A7C"/>
          <w:sz w:val="22"/>
          <w:szCs w:val="22"/>
        </w:rPr>
        <w:t xml:space="preserve">Exercise 1G   </w:t>
      </w:r>
      <w:r>
        <w:rPr>
          <w:b/>
          <w:bCs/>
          <w:sz w:val="21"/>
          <w:szCs w:val="21"/>
        </w:rPr>
        <w:t xml:space="preserve">Read your four schedules back and complete the comparison. The straight-line row is worked.</w:t>
      </w:r>
    </w:p>
    <w:p>
      <w:pPr>
        <w:spacing w:after="110"/>
      </w:pPr>
      <w:r>
        <w:rPr>
          <w:b/>
          <w:bCs/>
          <w:color w:val="6B7280"/>
          <w:sz w:val="17"/>
          <w:szCs w:val="17"/>
        </w:rPr>
        <w:t xml:space="preserve">First move:  </w:t>
      </w:r>
      <w:r>
        <w:rPr>
          <w:color w:val="6B7280"/>
          <w:sz w:val="17"/>
          <w:szCs w:val="17"/>
        </w:rPr>
        <w:t xml:space="preserve">Every figure in this table is already somewhere in your own work.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16"/>
        <w:gridCol w:w="16"/>
        <w:gridCol w:w="18"/>
        <w:gridCol w:w="30"/>
      </w:tblGrid>
      <w:tr>
        <w:tc>
          <w:tcPr>
            <w:shd w:fill="44506B" w:val="clear"/>
            <w:tcMar>
              <w:top w:type="dxa" w:w="60"/>
              <w:left w:type="dxa" w:w="120"/>
              <w:bottom w:type="dxa" w:w="60"/>
              <w:right w:type="dxa" w:w="120"/>
            </w:tcMar>
          </w:tcPr>
          <w:p>
            <w:r>
              <w:rPr>
                <w:b/>
                <w:bCs/>
                <w:color w:val="FFFFFF"/>
                <w:sz w:val="18"/>
                <w:szCs w:val="18"/>
              </w:rPr>
              <w:t xml:space="preserve">Method</w:t>
            </w:r>
          </w:p>
        </w:tc>
        <w:tc>
          <w:tcPr>
            <w:shd w:fill="44506B" w:val="clear"/>
            <w:tcMar>
              <w:top w:type="dxa" w:w="60"/>
              <w:left w:type="dxa" w:w="120"/>
              <w:bottom w:type="dxa" w:w="60"/>
              <w:right w:type="dxa" w:w="120"/>
            </w:tcMar>
          </w:tcPr>
          <w:p>
            <w:r>
              <w:rPr>
                <w:b/>
                <w:bCs/>
                <w:color w:val="FFFFFF"/>
                <w:sz w:val="18"/>
                <w:szCs w:val="18"/>
              </w:rPr>
              <w:t xml:space="preserve">Year 1 charge</w:t>
            </w:r>
          </w:p>
        </w:tc>
        <w:tc>
          <w:tcPr>
            <w:shd w:fill="44506B" w:val="clear"/>
            <w:tcMar>
              <w:top w:type="dxa" w:w="60"/>
              <w:left w:type="dxa" w:w="120"/>
              <w:bottom w:type="dxa" w:w="60"/>
              <w:right w:type="dxa" w:w="120"/>
            </w:tcMar>
          </w:tcPr>
          <w:p>
            <w:r>
              <w:rPr>
                <w:b/>
                <w:bCs/>
                <w:color w:val="FFFFFF"/>
                <w:sz w:val="18"/>
                <w:szCs w:val="18"/>
              </w:rPr>
              <w:t xml:space="preserve">Year 5 charge</w:t>
            </w:r>
          </w:p>
        </w:tc>
        <w:tc>
          <w:tcPr>
            <w:shd w:fill="44506B" w:val="clear"/>
            <w:tcMar>
              <w:top w:type="dxa" w:w="60"/>
              <w:left w:type="dxa" w:w="120"/>
              <w:bottom w:type="dxa" w:w="60"/>
              <w:right w:type="dxa" w:w="120"/>
            </w:tcMar>
          </w:tcPr>
          <w:p>
            <w:r>
              <w:rPr>
                <w:b/>
                <w:bCs/>
                <w:color w:val="FFFFFF"/>
                <w:sz w:val="18"/>
                <w:szCs w:val="18"/>
              </w:rPr>
              <w:t xml:space="preserve">Total over 5 years</w:t>
            </w:r>
          </w:p>
        </w:tc>
        <w:tc>
          <w:tcPr>
            <w:shd w:fill="44506B" w:val="clear"/>
            <w:tcMar>
              <w:top w:type="dxa" w:w="60"/>
              <w:left w:type="dxa" w:w="120"/>
              <w:bottom w:type="dxa" w:w="60"/>
              <w:right w:type="dxa" w:w="120"/>
            </w:tcMar>
          </w:tcPr>
          <w:p>
            <w:r>
              <w:rPr>
                <w:b/>
                <w:bCs/>
                <w:color w:val="FFFFFF"/>
                <w:sz w:val="18"/>
                <w:szCs w:val="18"/>
              </w:rPr>
              <w:t xml:space="preserve">What it assumes about the machine</w:t>
            </w:r>
          </w:p>
        </w:tc>
      </w:tr>
      <w:tr>
        <w:tc>
          <w:tcPr>
            <w:shd w:fill="EFF0FB" w:val="clear"/>
            <w:tcMar>
              <w:top w:type="dxa" w:w="60"/>
              <w:left w:type="dxa" w:w="120"/>
              <w:bottom w:type="dxa" w:w="60"/>
              <w:right w:type="dxa" w:w="120"/>
            </w:tcMar>
          </w:tcPr>
          <w:p>
            <w:r>
              <w:rPr>
                <w:sz w:val="19"/>
                <w:szCs w:val="19"/>
              </w:rPr>
              <w:t xml:space="preserve">Straight line</w:t>
            </w:r>
          </w:p>
        </w:tc>
        <w:tc>
          <w:tcPr>
            <w:shd w:fill="EFF0FB" w:val="clear"/>
            <w:tcMar>
              <w:top w:type="dxa" w:w="60"/>
              <w:left w:type="dxa" w:w="120"/>
              <w:bottom w:type="dxa" w:w="60"/>
              <w:right w:type="dxa" w:w="120"/>
            </w:tcMar>
          </w:tcPr>
          <w:p>
            <w:r>
              <w:rPr>
                <w:b/>
                <w:bCs/>
                <w:color w:val="23265A"/>
                <w:sz w:val="19"/>
                <w:szCs w:val="19"/>
              </w:rPr>
              <w:t xml:space="preserve">$90,000</w:t>
            </w:r>
          </w:p>
        </w:tc>
        <w:tc>
          <w:tcPr>
            <w:shd w:fill="EFF0FB" w:val="clear"/>
            <w:tcMar>
              <w:top w:type="dxa" w:w="60"/>
              <w:left w:type="dxa" w:w="120"/>
              <w:bottom w:type="dxa" w:w="60"/>
              <w:right w:type="dxa" w:w="120"/>
            </w:tcMar>
          </w:tcPr>
          <w:p>
            <w:r>
              <w:rPr>
                <w:b/>
                <w:bCs/>
                <w:color w:val="23265A"/>
                <w:sz w:val="19"/>
                <w:szCs w:val="19"/>
              </w:rPr>
              <w:t xml:space="preserve">$90,000</w:t>
            </w:r>
          </w:p>
        </w:tc>
        <w:tc>
          <w:tcPr>
            <w:shd w:fill="EFF0FB" w:val="clear"/>
            <w:tcMar>
              <w:top w:type="dxa" w:w="60"/>
              <w:left w:type="dxa" w:w="120"/>
              <w:bottom w:type="dxa" w:w="60"/>
              <w:right w:type="dxa" w:w="120"/>
            </w:tcMar>
          </w:tcPr>
          <w:p>
            <w:r>
              <w:rPr>
                <w:b/>
                <w:bCs/>
                <w:color w:val="23265A"/>
                <w:sz w:val="19"/>
                <w:szCs w:val="19"/>
              </w:rPr>
              <w:t xml:space="preserve">$450,000</w:t>
            </w:r>
          </w:p>
        </w:tc>
        <w:tc>
          <w:tcPr>
            <w:shd w:fill="EFF0FB" w:val="clear"/>
            <w:tcMar>
              <w:top w:type="dxa" w:w="60"/>
              <w:left w:type="dxa" w:w="120"/>
              <w:bottom w:type="dxa" w:w="60"/>
              <w:right w:type="dxa" w:w="120"/>
            </w:tcMar>
          </w:tcPr>
          <w:p>
            <w:r>
              <w:rPr>
                <w:b/>
                <w:bCs/>
                <w:color w:val="23265A"/>
                <w:sz w:val="19"/>
                <w:szCs w:val="19"/>
              </w:rPr>
              <w:t xml:space="preserve">That it is used evenly, year after year</w:t>
            </w:r>
          </w:p>
        </w:tc>
      </w:tr>
      <w:tr>
        <w:tc>
          <w:tcPr>
            <w:tcMar>
              <w:top w:type="dxa" w:w="60"/>
              <w:left w:type="dxa" w:w="120"/>
              <w:bottom w:type="dxa" w:w="60"/>
              <w:right w:type="dxa" w:w="120"/>
            </w:tcMar>
          </w:tcPr>
          <w:p>
            <w:r>
              <w:rPr>
                <w:sz w:val="19"/>
                <w:szCs w:val="19"/>
              </w:rPr>
              <w:t xml:space="preserve">Double declining balance</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Sum of the years’ digits</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Units of production</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Add your four totals when you have finished. If any two of them differ, one of your schedules has an arithmetic error in it.</w:t>
      </w:r>
    </w:p>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7335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Add the charge column of each of your four schedules. All four totals must be the same figure, because the method chooses the pattern and the depreciable amount was fixed before any method was chosen. If two of your columns disagree, the error is arithmetic and not a difference between the methods.  </w:t>
      </w:r>
    </w:p>
    <w:p>
      <w:pPr>
        <w:shd w:fill="353A7C" w:val="clear"/>
        <w:spacing w:after="80" w:before="230"/>
      </w:pPr>
      <w:r>
        <w:rPr>
          <w:b/>
          <w:bCs/>
          <w:color w:val="FFFFFF"/>
          <w:sz w:val="26"/>
          <w:szCs w:val="26"/>
        </w:rPr>
        <w:t xml:space="preserve">  Part 7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An asset costs $500,000, has a residual value of $50,000 and a 5-year life. The depreciable amount is:</w:t>
      </w:r>
    </w:p>
    <w:p>
      <w:pPr>
        <w:ind w:left="340"/>
        <w:spacing w:after="30"/>
      </w:pPr>
      <w:r>
        <w:rPr>
          <w:color w:val="6B7280"/>
          <w:sz w:val="19"/>
          <w:szCs w:val="19"/>
        </w:rPr>
        <w:t xml:space="preserve">(A)  </w:t>
      </w:r>
      <w:r>
        <w:rPr>
          <w:sz w:val="19"/>
          <w:szCs w:val="19"/>
        </w:rPr>
        <w:t xml:space="preserve">$500,000</w:t>
      </w:r>
    </w:p>
    <w:p>
      <w:pPr>
        <w:ind w:left="340"/>
        <w:spacing w:after="30"/>
      </w:pPr>
      <w:r>
        <w:rPr>
          <w:color w:val="6B7280"/>
          <w:sz w:val="19"/>
          <w:szCs w:val="19"/>
        </w:rPr>
        <w:t xml:space="preserve">(B)  </w:t>
      </w:r>
      <w:r>
        <w:rPr>
          <w:sz w:val="19"/>
          <w:szCs w:val="19"/>
        </w:rPr>
        <w:t xml:space="preserve">$450,000</w:t>
      </w:r>
    </w:p>
    <w:p>
      <w:pPr>
        <w:ind w:left="340"/>
        <w:spacing w:after="30"/>
      </w:pPr>
      <w:r>
        <w:rPr>
          <w:color w:val="6B7280"/>
          <w:sz w:val="19"/>
          <w:szCs w:val="19"/>
        </w:rPr>
        <w:t xml:space="preserve">(C)  </w:t>
      </w:r>
      <w:r>
        <w:rPr>
          <w:sz w:val="19"/>
          <w:szCs w:val="19"/>
        </w:rPr>
        <w:t xml:space="preserve">$50,000</w:t>
      </w:r>
    </w:p>
    <w:p>
      <w:pPr>
        <w:ind w:left="340"/>
        <w:spacing w:after="30"/>
      </w:pPr>
      <w:r>
        <w:rPr>
          <w:color w:val="6B7280"/>
          <w:sz w:val="19"/>
          <w:szCs w:val="19"/>
        </w:rPr>
        <w:t xml:space="preserve">(D)  </w:t>
      </w:r>
      <w:r>
        <w:rPr>
          <w:sz w:val="19"/>
          <w:szCs w:val="19"/>
        </w:rPr>
        <w:t xml:space="preserve">$550,000</w:t>
      </w:r>
    </w:p>
    <w:p>
      <w:pPr>
        <w:spacing w:before="150" w:after="60"/>
      </w:pPr>
      <w:r>
        <w:rPr>
          <w:b/>
          <w:bCs/>
          <w:color w:val="353A7C"/>
          <w:sz w:val="19"/>
          <w:szCs w:val="19"/>
        </w:rPr>
        <w:t xml:space="preserve">2.  [Level A]  </w:t>
      </w:r>
      <w:r>
        <w:rPr>
          <w:b/>
          <w:bCs/>
          <w:sz w:val="19"/>
          <w:szCs w:val="19"/>
        </w:rPr>
        <w:t xml:space="preserve">Under double declining balance, the rate is applied to:</w:t>
      </w:r>
    </w:p>
    <w:p>
      <w:pPr>
        <w:ind w:left="340"/>
        <w:spacing w:after="30"/>
      </w:pPr>
      <w:r>
        <w:rPr>
          <w:color w:val="6B7280"/>
          <w:sz w:val="19"/>
          <w:szCs w:val="19"/>
        </w:rPr>
        <w:t xml:space="preserve">(A)  </w:t>
      </w:r>
      <w:r>
        <w:rPr>
          <w:sz w:val="19"/>
          <w:szCs w:val="19"/>
        </w:rPr>
        <w:t xml:space="preserve">The depreciable amount</w:t>
      </w:r>
    </w:p>
    <w:p>
      <w:pPr>
        <w:ind w:left="340"/>
        <w:spacing w:after="30"/>
      </w:pPr>
      <w:r>
        <w:rPr>
          <w:color w:val="6B7280"/>
          <w:sz w:val="19"/>
          <w:szCs w:val="19"/>
        </w:rPr>
        <w:t xml:space="preserve">(B)  </w:t>
      </w:r>
      <w:r>
        <w:rPr>
          <w:sz w:val="19"/>
          <w:szCs w:val="19"/>
        </w:rPr>
        <w:t xml:space="preserve">The carrying amount</w:t>
      </w:r>
    </w:p>
    <w:p>
      <w:pPr>
        <w:ind w:left="340"/>
        <w:spacing w:after="30"/>
      </w:pPr>
      <w:r>
        <w:rPr>
          <w:color w:val="6B7280"/>
          <w:sz w:val="19"/>
          <w:szCs w:val="19"/>
        </w:rPr>
        <w:t xml:space="preserve">(C)  </w:t>
      </w:r>
      <w:r>
        <w:rPr>
          <w:sz w:val="19"/>
          <w:szCs w:val="19"/>
        </w:rPr>
        <w:t xml:space="preserve">The residual value</w:t>
      </w:r>
    </w:p>
    <w:p>
      <w:pPr>
        <w:ind w:left="340"/>
        <w:spacing w:after="30"/>
      </w:pPr>
      <w:r>
        <w:rPr>
          <w:color w:val="6B7280"/>
          <w:sz w:val="19"/>
          <w:szCs w:val="19"/>
        </w:rPr>
        <w:t xml:space="preserve">(D)  </w:t>
      </w:r>
      <w:r>
        <w:rPr>
          <w:sz w:val="19"/>
          <w:szCs w:val="19"/>
        </w:rPr>
        <w:t xml:space="preserve">The original cost, every year</w:t>
      </w:r>
    </w:p>
    <w:p>
      <w:pPr>
        <w:spacing w:before="150" w:after="60"/>
      </w:pPr>
      <w:r>
        <w:rPr>
          <w:b/>
          <w:bCs/>
          <w:color w:val="353A7C"/>
          <w:sz w:val="19"/>
          <w:szCs w:val="19"/>
        </w:rPr>
        <w:t xml:space="preserve">3.  [Level B]  </w:t>
      </w:r>
      <w:r>
        <w:rPr>
          <w:b/>
          <w:bCs/>
          <w:sz w:val="19"/>
          <w:szCs w:val="19"/>
        </w:rPr>
        <w:t xml:space="preserve">Under double declining balance, the residual value:</w:t>
      </w:r>
    </w:p>
    <w:p>
      <w:pPr>
        <w:ind w:left="340"/>
        <w:spacing w:after="30"/>
      </w:pPr>
      <w:r>
        <w:rPr>
          <w:color w:val="6B7280"/>
          <w:sz w:val="19"/>
          <w:szCs w:val="19"/>
        </w:rPr>
        <w:t xml:space="preserve">(A)  </w:t>
      </w:r>
      <w:r>
        <w:rPr>
          <w:sz w:val="19"/>
          <w:szCs w:val="19"/>
        </w:rPr>
        <w:t xml:space="preserve">Is deducted before the rate is applied</w:t>
      </w:r>
    </w:p>
    <w:p>
      <w:pPr>
        <w:ind w:left="340"/>
        <w:spacing w:after="30"/>
      </w:pPr>
      <w:r>
        <w:rPr>
          <w:color w:val="6B7280"/>
          <w:sz w:val="19"/>
          <w:szCs w:val="19"/>
        </w:rPr>
        <w:t xml:space="preserve">(B)  </w:t>
      </w:r>
      <w:r>
        <w:rPr>
          <w:sz w:val="19"/>
          <w:szCs w:val="19"/>
        </w:rPr>
        <w:t xml:space="preserve">Does not enter the formula, but the asset may not be taken below it</w:t>
      </w:r>
    </w:p>
    <w:p>
      <w:pPr>
        <w:ind w:left="340"/>
        <w:spacing w:after="30"/>
      </w:pPr>
      <w:r>
        <w:rPr>
          <w:color w:val="6B7280"/>
          <w:sz w:val="19"/>
          <w:szCs w:val="19"/>
        </w:rPr>
        <w:t xml:space="preserve">(C)  </w:t>
      </w:r>
      <w:r>
        <w:rPr>
          <w:sz w:val="19"/>
          <w:szCs w:val="19"/>
        </w:rPr>
        <w:t xml:space="preserve">Is ignored entirely</w:t>
      </w:r>
    </w:p>
    <w:p>
      <w:pPr>
        <w:ind w:left="340"/>
        <w:spacing w:after="30"/>
      </w:pPr>
      <w:r>
        <w:rPr>
          <w:color w:val="6B7280"/>
          <w:sz w:val="19"/>
          <w:szCs w:val="19"/>
        </w:rPr>
        <w:t xml:space="preserve">(D)  </w:t>
      </w:r>
      <w:r>
        <w:rPr>
          <w:sz w:val="19"/>
          <w:szCs w:val="19"/>
        </w:rPr>
        <w:t xml:space="preserve">Is added to the final year’s charge</w:t>
      </w:r>
    </w:p>
    <w:p>
      <w:pPr>
        <w:spacing w:before="150" w:after="60"/>
      </w:pPr>
      <w:r>
        <w:rPr>
          <w:b/>
          <w:bCs/>
          <w:color w:val="353A7C"/>
          <w:sz w:val="19"/>
          <w:szCs w:val="19"/>
        </w:rPr>
        <w:t xml:space="preserve">4.  [Level B]  </w:t>
      </w:r>
      <w:r>
        <w:rPr>
          <w:b/>
          <w:bCs/>
          <w:sz w:val="19"/>
          <w:szCs w:val="19"/>
        </w:rPr>
        <w:t xml:space="preserve">An asset with a 5-year life is depreciated by the sum of the years’ digits. The denominator of the fraction is:</w:t>
      </w:r>
    </w:p>
    <w:p>
      <w:pPr>
        <w:ind w:left="340"/>
        <w:spacing w:after="30"/>
      </w:pPr>
      <w:r>
        <w:rPr>
          <w:color w:val="6B7280"/>
          <w:sz w:val="19"/>
          <w:szCs w:val="19"/>
        </w:rPr>
        <w:t xml:space="preserve">(A)  </w:t>
      </w:r>
      <w:r>
        <w:rPr>
          <w:sz w:val="19"/>
          <w:szCs w:val="19"/>
        </w:rPr>
        <w:t xml:space="preserve">5</w:t>
      </w:r>
    </w:p>
    <w:p>
      <w:pPr>
        <w:ind w:left="340"/>
        <w:spacing w:after="30"/>
      </w:pPr>
      <w:r>
        <w:rPr>
          <w:color w:val="6B7280"/>
          <w:sz w:val="19"/>
          <w:szCs w:val="19"/>
        </w:rPr>
        <w:t xml:space="preserve">(B)  </w:t>
      </w:r>
      <w:r>
        <w:rPr>
          <w:sz w:val="19"/>
          <w:szCs w:val="19"/>
        </w:rPr>
        <w:t xml:space="preserve">15</w:t>
      </w:r>
    </w:p>
    <w:p>
      <w:pPr>
        <w:ind w:left="340"/>
        <w:spacing w:after="30"/>
      </w:pPr>
      <w:r>
        <w:rPr>
          <w:color w:val="6B7280"/>
          <w:sz w:val="19"/>
          <w:szCs w:val="19"/>
        </w:rPr>
        <w:t xml:space="preserve">(C)  </w:t>
      </w:r>
      <w:r>
        <w:rPr>
          <w:sz w:val="19"/>
          <w:szCs w:val="19"/>
        </w:rPr>
        <w:t xml:space="preserve">10</w:t>
      </w:r>
    </w:p>
    <w:p>
      <w:pPr>
        <w:ind w:left="340"/>
        <w:spacing w:after="30"/>
      </w:pPr>
      <w:r>
        <w:rPr>
          <w:color w:val="6B7280"/>
          <w:sz w:val="19"/>
          <w:szCs w:val="19"/>
        </w:rPr>
        <w:t xml:space="preserve">(D)  </w:t>
      </w:r>
      <w:r>
        <w:rPr>
          <w:sz w:val="19"/>
          <w:szCs w:val="19"/>
        </w:rPr>
        <w:t xml:space="preserve">25</w:t>
      </w:r>
    </w:p>
    <w:p>
      <w:pPr>
        <w:spacing w:before="150" w:after="60"/>
      </w:pPr>
      <w:r>
        <w:rPr>
          <w:b/>
          <w:bCs/>
          <w:color w:val="353A7C"/>
          <w:sz w:val="19"/>
          <w:szCs w:val="19"/>
        </w:rPr>
        <w:t xml:space="preserve">5.  [Level B]  </w:t>
      </w:r>
      <w:r>
        <w:rPr>
          <w:b/>
          <w:bCs/>
          <w:sz w:val="19"/>
          <w:szCs w:val="19"/>
        </w:rPr>
        <w:t xml:space="preserve">A machine depreciated by the units of production method stands idle for a whole year. The charge for that year is:</w:t>
      </w:r>
    </w:p>
    <w:p>
      <w:pPr>
        <w:ind w:left="340"/>
        <w:spacing w:after="30"/>
      </w:pPr>
      <w:r>
        <w:rPr>
          <w:color w:val="6B7280"/>
          <w:sz w:val="19"/>
          <w:szCs w:val="19"/>
        </w:rPr>
        <w:t xml:space="preserve">(A)  </w:t>
      </w:r>
      <w:r>
        <w:rPr>
          <w:sz w:val="19"/>
          <w:szCs w:val="19"/>
        </w:rPr>
        <w:t xml:space="preserve">The same as the previous year</w:t>
      </w:r>
    </w:p>
    <w:p>
      <w:pPr>
        <w:ind w:left="340"/>
        <w:spacing w:after="30"/>
      </w:pPr>
      <w:r>
        <w:rPr>
          <w:color w:val="6B7280"/>
          <w:sz w:val="19"/>
          <w:szCs w:val="19"/>
        </w:rPr>
        <w:t xml:space="preserve">(B)  </w:t>
      </w:r>
      <w:r>
        <w:rPr>
          <w:sz w:val="19"/>
          <w:szCs w:val="19"/>
        </w:rPr>
        <w:t xml:space="preserve">Nil</w:t>
      </w:r>
    </w:p>
    <w:p>
      <w:pPr>
        <w:ind w:left="340"/>
        <w:spacing w:after="30"/>
      </w:pPr>
      <w:r>
        <w:rPr>
          <w:color w:val="6B7280"/>
          <w:sz w:val="19"/>
          <w:szCs w:val="19"/>
        </w:rPr>
        <w:t xml:space="preserve">(C)  </w:t>
      </w:r>
      <w:r>
        <w:rPr>
          <w:sz w:val="19"/>
          <w:szCs w:val="19"/>
        </w:rPr>
        <w:t xml:space="preserve">The straight-line charge</w:t>
      </w:r>
    </w:p>
    <w:p>
      <w:pPr>
        <w:ind w:left="340"/>
        <w:spacing w:after="30"/>
      </w:pPr>
      <w:r>
        <w:rPr>
          <w:color w:val="6B7280"/>
          <w:sz w:val="19"/>
          <w:szCs w:val="19"/>
        </w:rPr>
        <w:t xml:space="preserve">(D)  </w:t>
      </w:r>
      <w:r>
        <w:rPr>
          <w:sz w:val="19"/>
          <w:szCs w:val="19"/>
        </w:rPr>
        <w:t xml:space="preserve">Half the previous year</w:t>
      </w:r>
    </w:p>
    <w:p>
      <w:pPr>
        <w:spacing w:before="150" w:after="60"/>
      </w:pPr>
      <w:r>
        <w:rPr>
          <w:b/>
          <w:bCs/>
          <w:color w:val="353A7C"/>
          <w:sz w:val="19"/>
          <w:szCs w:val="19"/>
        </w:rPr>
        <w:t xml:space="preserve">6.  [Level C]  </w:t>
      </w:r>
      <w:r>
        <w:rPr>
          <w:b/>
          <w:bCs/>
          <w:sz w:val="19"/>
          <w:szCs w:val="19"/>
        </w:rPr>
        <w:t xml:space="preserve">Which of the following is TRUE of all four methods?</w:t>
      </w:r>
    </w:p>
    <w:p>
      <w:pPr>
        <w:ind w:left="340"/>
        <w:spacing w:after="30"/>
      </w:pPr>
      <w:r>
        <w:rPr>
          <w:color w:val="6B7280"/>
          <w:sz w:val="19"/>
          <w:szCs w:val="19"/>
        </w:rPr>
        <w:t xml:space="preserve">(A)  </w:t>
      </w:r>
      <w:r>
        <w:rPr>
          <w:sz w:val="19"/>
          <w:szCs w:val="19"/>
        </w:rPr>
        <w:t xml:space="preserve">They charge the same amount in year 1</w:t>
      </w:r>
    </w:p>
    <w:p>
      <w:pPr>
        <w:ind w:left="340"/>
        <w:spacing w:after="30"/>
      </w:pPr>
      <w:r>
        <w:rPr>
          <w:color w:val="6B7280"/>
          <w:sz w:val="19"/>
          <w:szCs w:val="19"/>
        </w:rPr>
        <w:t xml:space="preserve">(B)  </w:t>
      </w:r>
      <w:r>
        <w:rPr>
          <w:sz w:val="19"/>
          <w:szCs w:val="19"/>
        </w:rPr>
        <w:t xml:space="preserve">They write off the same total over the asset’s life</w:t>
      </w:r>
    </w:p>
    <w:p>
      <w:pPr>
        <w:ind w:left="340"/>
        <w:spacing w:after="30"/>
      </w:pPr>
      <w:r>
        <w:rPr>
          <w:color w:val="6B7280"/>
          <w:sz w:val="19"/>
          <w:szCs w:val="19"/>
        </w:rPr>
        <w:t xml:space="preserve">(C)  </w:t>
      </w:r>
      <w:r>
        <w:rPr>
          <w:sz w:val="19"/>
          <w:szCs w:val="19"/>
        </w:rPr>
        <w:t xml:space="preserve">They produce the same carrying amount at the end of year 2</w:t>
      </w:r>
    </w:p>
    <w:p>
      <w:pPr>
        <w:ind w:left="340"/>
        <w:spacing w:after="30"/>
      </w:pPr>
      <w:r>
        <w:rPr>
          <w:color w:val="6B7280"/>
          <w:sz w:val="19"/>
          <w:szCs w:val="19"/>
        </w:rPr>
        <w:t xml:space="preserve">(D)  </w:t>
      </w:r>
      <w:r>
        <w:rPr>
          <w:sz w:val="19"/>
          <w:szCs w:val="19"/>
        </w:rPr>
        <w:t xml:space="preserve">They all ignore residual value</w:t>
      </w:r>
    </w:p>
    <w:p>
      <w:pPr>
        <w:spacing w:before="150" w:after="60"/>
      </w:pPr>
      <w:r>
        <w:rPr>
          <w:b/>
          <w:bCs/>
          <w:color w:val="353A7C"/>
          <w:sz w:val="19"/>
          <w:szCs w:val="19"/>
        </w:rPr>
        <w:t xml:space="preserve">7.  [Level C]  </w:t>
      </w:r>
      <w:r>
        <w:rPr>
          <w:b/>
          <w:bCs/>
          <w:sz w:val="19"/>
          <w:szCs w:val="19"/>
        </w:rPr>
        <w:t xml:space="preserve">A company replaces its delivery vans every four years although they could run for eight. The useful life used for depreciation should be:</w:t>
      </w:r>
    </w:p>
    <w:p>
      <w:pPr>
        <w:ind w:left="340"/>
        <w:spacing w:after="30"/>
      </w:pPr>
      <w:r>
        <w:rPr>
          <w:color w:val="6B7280"/>
          <w:sz w:val="19"/>
          <w:szCs w:val="19"/>
        </w:rPr>
        <w:t xml:space="preserve">(A)  </w:t>
      </w:r>
      <w:r>
        <w:rPr>
          <w:sz w:val="19"/>
          <w:szCs w:val="19"/>
        </w:rPr>
        <w:t xml:space="preserve">Eight years, the physical life</w:t>
      </w:r>
    </w:p>
    <w:p>
      <w:pPr>
        <w:ind w:left="340"/>
        <w:spacing w:after="30"/>
      </w:pPr>
      <w:r>
        <w:rPr>
          <w:color w:val="6B7280"/>
          <w:sz w:val="19"/>
          <w:szCs w:val="19"/>
        </w:rPr>
        <w:t xml:space="preserve">(B)  </w:t>
      </w:r>
      <w:r>
        <w:rPr>
          <w:sz w:val="19"/>
          <w:szCs w:val="19"/>
        </w:rPr>
        <w:t xml:space="preserve">Four years, because that is this company’s expected use</w:t>
      </w:r>
    </w:p>
    <w:p>
      <w:pPr>
        <w:ind w:left="340"/>
        <w:spacing w:after="30"/>
      </w:pPr>
      <w:r>
        <w:rPr>
          <w:color w:val="6B7280"/>
          <w:sz w:val="19"/>
          <w:szCs w:val="19"/>
        </w:rPr>
        <w:t xml:space="preserve">(C)  </w:t>
      </w:r>
      <w:r>
        <w:rPr>
          <w:sz w:val="19"/>
          <w:szCs w:val="19"/>
        </w:rPr>
        <w:t xml:space="preserve">Whichever gives the lower charge</w:t>
      </w:r>
    </w:p>
    <w:p>
      <w:pPr>
        <w:ind w:left="340"/>
        <w:spacing w:after="30"/>
      </w:pPr>
      <w:r>
        <w:rPr>
          <w:color w:val="6B7280"/>
          <w:sz w:val="19"/>
          <w:szCs w:val="19"/>
        </w:rPr>
        <w:t xml:space="preserve">(D)  </w:t>
      </w:r>
      <w:r>
        <w:rPr>
          <w:sz w:val="19"/>
          <w:szCs w:val="19"/>
        </w:rPr>
        <w:t xml:space="preserve">The average of the two</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three estimates at the top of the page before computing anything: cost, life, residual. Then write the depreciable amount underneath them. Every one of the four methods is built from those four numbers, and a question that withholds one of them is withholding the only thing you needed.</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5 · Handouts 1 to 1</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The Depreciation Methods, Side by Side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The one input that is not an estimate.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life</w:t>
            </w:r>
          </w:p>
        </w:tc>
        <w:tc>
          <w:tcPr>
            <w:tcMar>
              <w:top w:type="dxa" w:w="40"/>
              <w:left w:type="dxa" w:w="100"/>
              <w:bottom w:type="dxa" w:w="40"/>
              <w:right w:type="dxa" w:w="100"/>
            </w:tcMar>
          </w:tcPr>
          <w:p>
            <w:r>
              <w:rPr>
                <w:sz w:val="17"/>
                <w:szCs w:val="17"/>
              </w:rPr>
              <w:t xml:space="preserve">How long this company expects to use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residual</w:t>
            </w:r>
          </w:p>
        </w:tc>
        <w:tc>
          <w:tcPr>
            <w:tcMar>
              <w:top w:type="dxa" w:w="40"/>
              <w:left w:type="dxa" w:w="100"/>
              <w:bottom w:type="dxa" w:w="40"/>
              <w:right w:type="dxa" w:w="100"/>
            </w:tcMar>
          </w:tcPr>
          <w:p>
            <w:r>
              <w:rPr>
                <w:sz w:val="17"/>
                <w:szCs w:val="17"/>
              </w:rPr>
              <w:t xml:space="preserve">What is expected back at the end.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depreciable</w:t>
            </w:r>
          </w:p>
        </w:tc>
        <w:tc>
          <w:tcPr>
            <w:tcMar>
              <w:top w:type="dxa" w:w="40"/>
              <w:left w:type="dxa" w:w="100"/>
              <w:bottom w:type="dxa" w:w="40"/>
              <w:right w:type="dxa" w:w="100"/>
            </w:tcMar>
          </w:tcPr>
          <w:p>
            <w:r>
              <w:rPr>
                <w:sz w:val="17"/>
                <w:szCs w:val="17"/>
              </w:rPr>
              <w:t xml:space="preserve">The total every method must reach.</w:t>
            </w:r>
          </w:p>
        </w:tc>
        <w:tc>
          <w:tcPr>
            <w:tcMar>
              <w:top w:type="dxa" w:w="40"/>
              <w:left w:type="dxa" w:w="100"/>
              <w:bottom w:type="dxa" w:w="40"/>
              <w:right w:type="dxa" w:w="100"/>
            </w:tcMar>
          </w:tcPr>
          <w:p>
            <w:r>
              <w:rPr>
                <w:color w:val="C0483F"/>
                <w:sz w:val="17"/>
                <w:szCs w:val="17"/>
              </w:rPr>
              <w:t xml:space="preserve">Students expect the method to change the total. It changes only which years carry it.</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accelerated</w:t>
            </w:r>
          </w:p>
        </w:tc>
        <w:tc>
          <w:tcPr>
            <w:tcMar>
              <w:top w:type="dxa" w:w="40"/>
              <w:left w:type="dxa" w:w="100"/>
              <w:bottom w:type="dxa" w:w="40"/>
              <w:right w:type="dxa" w:w="100"/>
            </w:tcMar>
          </w:tcPr>
          <w:p>
            <w:r>
              <w:rPr>
                <w:sz w:val="17"/>
                <w:szCs w:val="17"/>
              </w:rPr>
              <w:t xml:space="preserve">Sooner, not more.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amount</w:t>
            </w:r>
          </w:p>
        </w:tc>
        <w:tc>
          <w:tcPr>
            <w:tcMar>
              <w:top w:type="dxa" w:w="40"/>
              <w:left w:type="dxa" w:w="100"/>
              <w:bottom w:type="dxa" w:w="40"/>
              <w:right w:type="dxa" w:w="100"/>
            </w:tcMar>
          </w:tcPr>
          <w:p>
            <w:r>
              <w:rPr>
                <w:sz w:val="17"/>
                <w:szCs w:val="17"/>
              </w:rPr>
              <w:t xml:space="preserve">The figure that falls each year.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end</w:t>
            </w:r>
          </w:p>
        </w:tc>
        <w:tc>
          <w:tcPr>
            <w:tcMar>
              <w:top w:type="dxa" w:w="40"/>
              <w:left w:type="dxa" w:w="100"/>
              <w:bottom w:type="dxa" w:w="40"/>
              <w:right w:type="dxa" w:w="100"/>
            </w:tcMar>
          </w:tcPr>
          <w:p>
            <w:r>
              <w:rPr>
                <w:sz w:val="17"/>
                <w:szCs w:val="17"/>
              </w:rPr>
              <w:t xml:space="preserve">Out of the formula, but not out of the method.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capped</w:t>
            </w:r>
          </w:p>
        </w:tc>
        <w:tc>
          <w:tcPr>
            <w:tcMar>
              <w:top w:type="dxa" w:w="40"/>
              <w:left w:type="dxa" w:w="100"/>
              <w:bottom w:type="dxa" w:w="40"/>
              <w:right w:type="dxa" w:w="100"/>
            </w:tcMar>
          </w:tcPr>
          <w:p>
            <w:r>
              <w:rPr>
                <w:sz w:val="17"/>
                <w:szCs w:val="17"/>
              </w:rPr>
              <w:t xml:space="preserve">Only what is left above the floor.</w:t>
            </w:r>
          </w:p>
        </w:tc>
        <w:tc>
          <w:tcPr>
            <w:tcMar>
              <w:top w:type="dxa" w:w="40"/>
              <w:left w:type="dxa" w:w="100"/>
              <w:bottom w:type="dxa" w:w="40"/>
              <w:right w:type="dxa" w:w="100"/>
            </w:tcMar>
          </w:tcPr>
          <w:p>
            <w:r>
              <w:rPr>
                <w:color w:val="C0483F"/>
                <w:sz w:val="17"/>
                <w:szCs w:val="17"/>
              </w:rPr>
              <w:t xml:space="preserve">Students apply the formula to the last year and take the asset below its residual value. No method may do that.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$450,000</w:t>
            </w:r>
          </w:p>
        </w:tc>
        <w:tc>
          <w:tcPr>
            <w:tcMar>
              <w:top w:type="dxa" w:w="40"/>
              <w:left w:type="dxa" w:w="100"/>
              <w:bottom w:type="dxa" w:w="40"/>
              <w:right w:type="dxa" w:w="100"/>
            </w:tcMar>
          </w:tcPr>
          <w:p>
            <w:r>
              <w:rPr>
                <w:sz w:val="17"/>
                <w:szCs w:val="17"/>
              </w:rPr>
              <w:t xml:space="preserve">Cost less residual value. (A) is the error that would write the asset down to nothing and ignore the $50,000 the company expects to get back.</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carrying amount</w:t>
            </w:r>
          </w:p>
        </w:tc>
        <w:tc>
          <w:tcPr>
            <w:tcMar>
              <w:top w:type="dxa" w:w="40"/>
              <w:left w:type="dxa" w:w="100"/>
              <w:bottom w:type="dxa" w:w="40"/>
              <w:right w:type="dxa" w:w="100"/>
            </w:tcMar>
          </w:tcPr>
          <w:p>
            <w:r>
              <w:rPr>
                <w:sz w:val="17"/>
                <w:szCs w:val="17"/>
              </w:rPr>
              <w:t xml:space="preserve">A fixed rate on a falling balance, which is what makes the charge decline. (D) would give the same charge every year and so would not be an accelerated method at all.</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Does not enter the formula, but the asset may not be taken below it</w:t>
            </w:r>
          </w:p>
        </w:tc>
        <w:tc>
          <w:tcPr>
            <w:tcMar>
              <w:top w:type="dxa" w:w="40"/>
              <w:left w:type="dxa" w:w="100"/>
              <w:bottom w:type="dxa" w:w="40"/>
              <w:right w:type="dxa" w:w="100"/>
            </w:tcMar>
          </w:tcPr>
          <w:p>
            <w:r>
              <w:rPr>
                <w:sz w:val="17"/>
                <w:szCs w:val="17"/>
              </w:rPr>
              <w:t xml:space="preserve">Out of the formula and still binding, which is why one year of the schedule you built behaves differently from the rest. (C) is the error that takes an asset below what it will fetch.</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15</w:t>
            </w:r>
          </w:p>
        </w:tc>
        <w:tc>
          <w:tcPr>
            <w:tcMar>
              <w:top w:type="dxa" w:w="40"/>
              <w:left w:type="dxa" w:w="100"/>
              <w:bottom w:type="dxa" w:w="40"/>
              <w:right w:type="dxa" w:w="100"/>
            </w:tcMar>
          </w:tcPr>
          <w:p>
            <w:r>
              <w:rPr>
                <w:sz w:val="17"/>
                <w:szCs w:val="17"/>
              </w:rPr>
              <w:t xml:space="preserve">The digits of the life added together: 1 + 2 + 3 + 4 + 5. (A) is the life itself, which is the straight-line denominator.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Nil</w:t>
            </w:r>
          </w:p>
        </w:tc>
        <w:tc>
          <w:tcPr>
            <w:tcMar>
              <w:top w:type="dxa" w:w="40"/>
              <w:left w:type="dxa" w:w="100"/>
              <w:bottom w:type="dxa" w:w="40"/>
              <w:right w:type="dxa" w:w="100"/>
            </w:tcMar>
          </w:tcPr>
          <w:p>
            <w:r>
              <w:rPr>
                <w:sz w:val="17"/>
                <w:szCs w:val="17"/>
              </w:rPr>
              <w:t xml:space="preserve">No output, no charge. It is the one behaviour no time-based method can produce, and it is why the method suits an asset worn out by use rather than by age.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They write off the same total over the asset’s life</w:t>
            </w:r>
          </w:p>
        </w:tc>
        <w:tc>
          <w:tcPr>
            <w:tcMar>
              <w:top w:type="dxa" w:w="40"/>
              <w:left w:type="dxa" w:w="100"/>
              <w:bottom w:type="dxa" w:w="40"/>
              <w:right w:type="dxa" w:w="100"/>
            </w:tcMar>
          </w:tcPr>
          <w:p>
            <w:r>
              <w:rPr>
                <w:sz w:val="17"/>
                <w:szCs w:val="17"/>
              </w:rPr>
              <w:t xml:space="preserve">The depreciable amount is fixed before a method is chosen, so the total cannot differ. Your four columns are the proof, and if they are not equal one of them is wrong.</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Four years, because that is this company’s expected use</w:t>
            </w:r>
          </w:p>
        </w:tc>
        <w:tc>
          <w:tcPr>
            <w:tcMar>
              <w:top w:type="dxa" w:w="40"/>
              <w:left w:type="dxa" w:w="100"/>
              <w:bottom w:type="dxa" w:w="40"/>
              <w:right w:type="dxa" w:w="100"/>
            </w:tcMar>
          </w:tcPr>
          <w:p>
            <w:r>
              <w:rPr>
                <w:sz w:val="17"/>
                <w:szCs w:val="17"/>
              </w:rPr>
              <w:t xml:space="preserve">Useful life is the period of the company’s own expected use, not how long the asset could last for somebody. (A) is the single most common error on this definition.</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1B · straight line</w:t>
      </w:r>
    </w:p>
    <w:p>
      <w:pPr>
        <w:spacing w:after="40" w:before="130"/>
      </w:pPr>
      <w:r>
        <w:rPr>
          <w:b/>
          <w:bCs/>
          <w:color w:val="23265A"/>
          <w:sz w:val="24"/>
          <w:szCs w:val="24"/>
        </w:rPr>
        <w:t xml:space="preserve">Exercise 1C · double declining balance</w:t>
      </w:r>
    </w:p>
    <w:p>
      <w:pPr>
        <w:spacing w:after="40" w:before="130"/>
      </w:pPr>
      <w:r>
        <w:rPr>
          <w:b/>
          <w:bCs/>
          <w:color w:val="23265A"/>
          <w:sz w:val="24"/>
          <w:szCs w:val="24"/>
        </w:rPr>
        <w:t xml:space="preserve">Exercise 1E · sum of the years’ digits</w:t>
      </w:r>
    </w:p>
    <w:p>
      <w:pPr>
        <w:spacing w:after="40" w:before="130"/>
      </w:pPr>
      <w:r>
        <w:rPr>
          <w:b/>
          <w:bCs/>
          <w:color w:val="23265A"/>
          <w:sz w:val="24"/>
          <w:szCs w:val="24"/>
        </w:rPr>
        <w:t xml:space="preserve">Exercise 1F · units of production</w:t>
      </w:r>
    </w:p>
    <w:p>
      <w:pPr>
        <w:spacing w:after="40" w:before="130"/>
      </w:pPr>
      <w:r>
        <w:rPr>
          <w:b/>
          <w:bCs/>
          <w:color w:val="23265A"/>
          <w:sz w:val="24"/>
          <w:szCs w:val="24"/>
        </w:rPr>
        <w:t xml:space="preserve">Exercise 1G · the four compared</w:t>
      </w:r>
    </w:p>
    <w:p>
      <w:pPr>
        <w:spacing w:before="40" w:after="110" w:line="300" w:lineRule="auto"/>
      </w:pPr>
      <w:r>
        <w:rPr>
          <w:b/>
          <w:color w:val="2B6CB0"/>
          <w:sz w:val="13"/>
        </w:rPr>
        <w:t xml:space="preserve">R2  </w:t>
      </w:r>
      <w:r>
        <w:rPr>
          <w:sz w:val="21"/>
          <w:szCs w:val="21"/>
        </w:rPr>
        <w:t xml:space="preserve">The fourth column is the same figure four times, and that is the whole point of the handout. The year 1 column ranges from $90,000 to $200,000, which is the same machine reported four ways in its first year. Handout 2 works out what that does to the statements.</w:t>
      </w:r>
    </w:p>
    <w:p>
      <w:pPr>
        <w:sectPr>
          <w:headerReference w:type="default" r:id="rIdHdr3"/>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5,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accelerated method</w:t>
            </w:r>
          </w:p>
        </w:tc>
        <w:tc>
          <w:tcPr>
            <w:tcMar>
              <w:top w:type="dxa" w:w="55"/>
              <w:left w:type="dxa" w:w="115"/>
              <w:bottom w:type="dxa" w:w="55"/>
              <w:right w:type="dxa" w:w="115"/>
            </w:tcMar>
          </w:tcPr>
          <w:p>
            <w:r>
              <w:rPr>
                <w:sz w:val="18"/>
                <w:szCs w:val="18"/>
              </w:rPr>
              <w:t xml:space="preserve">A method that charges more in the early years and less in the late ones.</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الإهلاك المعجل</w:t>
            </w:r>
          </w:p>
        </w:tc>
        <w:tc>
          <w:tcPr>
            <w:tcMar>
              <w:top w:type="dxa" w:w="55"/>
              <w:left w:type="dxa" w:w="115"/>
              <w:bottom w:type="dxa" w:w="55"/>
              <w:right w:type="dxa" w:w="115"/>
            </w:tcMar>
          </w:tcPr>
          <w:p>
            <w:r>
              <w:rPr>
                <w:color w:val="C0483F"/>
                <w:sz w:val="17"/>
                <w:szCs w:val="17"/>
              </w:rPr>
              <w:t xml:space="preserve">Sooner, not more. Over the whole life an accelerated method writes off exactly what straight line writes off.</w:t>
            </w:r>
          </w:p>
        </w:tc>
      </w:tr>
      <w:tr>
        <w:tc>
          <w:tcPr>
            <w:tcMar>
              <w:top w:type="dxa" w:w="55"/>
              <w:left w:type="dxa" w:w="115"/>
              <w:bottom w:type="dxa" w:w="55"/>
              <w:right w:type="dxa" w:w="115"/>
            </w:tcMar>
          </w:tcPr>
          <w:p>
            <w:r>
              <w:rPr>
                <w:b/>
                <w:bCs/>
                <w:sz w:val="18"/>
                <w:szCs w:val="18"/>
              </w:rPr>
              <w:t xml:space="preserve">activity method</w:t>
            </w:r>
          </w:p>
        </w:tc>
        <w:tc>
          <w:tcPr>
            <w:tcMar>
              <w:top w:type="dxa" w:w="55"/>
              <w:left w:type="dxa" w:w="115"/>
              <w:bottom w:type="dxa" w:w="55"/>
              <w:right w:type="dxa" w:w="115"/>
            </w:tcMar>
          </w:tcPr>
          <w:p>
            <w:r>
              <w:rPr>
                <w:sz w:val="18"/>
                <w:szCs w:val="18"/>
              </w:rPr>
              <w:t xml:space="preserve">A method that charges on the basis of output rather than the passing of time.</w:t>
            </w:r>
          </w:p>
        </w:tc>
        <w:tc>
          <w:tcPr>
            <w:tcMar>
              <w:top w:type="dxa" w:w="55"/>
              <w:left w:type="dxa" w:w="115"/>
              <w:bottom w:type="dxa" w:w="55"/>
              <w:right w:type="dxa" w:w="115"/>
            </w:tcMar>
          </w:tcPr>
          <w:p>
            <w:pPr>
              <w:bidi/>
              <w:jc w:val="right"/>
            </w:pPr>
            <w:r>
              <w:rPr>
                <w:rFonts w:cs="Arial" w:ascii="Arial" w:hAnsi="Arial"/>
                <w:rtl/>
                <w:bidi/>
                <w:sz w:val="18"/>
                <w:szCs w:val="18"/>
              </w:rPr>
              <w:t xml:space="preserve">طريقة وحدات الإنتاج</w:t>
            </w:r>
          </w:p>
        </w:tc>
        <w:tc>
          <w:tcPr>
            <w:tcMar>
              <w:top w:type="dxa" w:w="55"/>
              <w:left w:type="dxa" w:w="115"/>
              <w:bottom w:type="dxa" w:w="55"/>
              <w:right w:type="dxa" w:w="115"/>
            </w:tcMar>
          </w:tcPr>
          <w:p>
            <w:r>
              <w:rPr>
                <w:color w:val="C0483F"/>
                <w:sz w:val="17"/>
                <w:szCs w:val="17"/>
              </w:rPr>
              <w:t xml:space="preserve">An idle machine takes no charge at all, which is the one behaviour no time-based method can produce.</w:t>
            </w:r>
          </w:p>
        </w:tc>
      </w:tr>
      <w:tr>
        <w:tc>
          <w:tcPr>
            <w:tcMar>
              <w:top w:type="dxa" w:w="55"/>
              <w:left w:type="dxa" w:w="115"/>
              <w:bottom w:type="dxa" w:w="55"/>
              <w:right w:type="dxa" w:w="115"/>
            </w:tcMar>
          </w:tcPr>
          <w:p>
            <w:r>
              <w:rPr>
                <w:b/>
                <w:bCs/>
                <w:sz w:val="18"/>
                <w:szCs w:val="18"/>
              </w:rPr>
              <w:t xml:space="preserve">carrying amount</w:t>
            </w:r>
          </w:p>
        </w:tc>
        <w:tc>
          <w:tcPr>
            <w:tcMar>
              <w:top w:type="dxa" w:w="55"/>
              <w:left w:type="dxa" w:w="115"/>
              <w:bottom w:type="dxa" w:w="55"/>
              <w:right w:type="dxa" w:w="115"/>
            </w:tcMar>
          </w:tcPr>
          <w:p>
            <w:r>
              <w:rPr>
                <w:sz w:val="18"/>
                <w:szCs w:val="18"/>
              </w:rPr>
              <w:t xml:space="preserve">Cost less the depreciation charged to date.</w:t>
            </w:r>
          </w:p>
        </w:tc>
        <w:tc>
          <w:tcPr>
            <w:tcMar>
              <w:top w:type="dxa" w:w="55"/>
              <w:left w:type="dxa" w:w="115"/>
              <w:bottom w:type="dxa" w:w="55"/>
              <w:right w:type="dxa" w:w="115"/>
            </w:tcMar>
          </w:tcPr>
          <w:p>
            <w:pPr>
              <w:bidi/>
              <w:jc w:val="right"/>
            </w:pPr>
            <w:r>
              <w:rPr>
                <w:rFonts w:cs="Arial" w:ascii="Arial" w:hAnsi="Arial"/>
                <w:rtl/>
                <w:bidi/>
                <w:sz w:val="18"/>
                <w:szCs w:val="18"/>
              </w:rPr>
              <w:t xml:space="preserve">المبلغ المدرج</w:t>
            </w:r>
          </w:p>
        </w:tc>
        <w:tc>
          <w:tcPr>
            <w:tcMar>
              <w:top w:type="dxa" w:w="55"/>
              <w:left w:type="dxa" w:w="115"/>
              <w:bottom w:type="dxa" w:w="55"/>
              <w:right w:type="dxa" w:w="115"/>
            </w:tcMar>
          </w:tcPr>
          <w:p>
            <w:r>
              <w:rPr>
                <w:color w:val="C0483F"/>
                <w:sz w:val="17"/>
                <w:szCs w:val="17"/>
              </w:rPr>
              <w:t xml:space="preserve">Falls every year and must never go below the residual value, whatever a formula produces.</w:t>
            </w:r>
          </w:p>
        </w:tc>
      </w:tr>
      <w:tr>
        <w:tc>
          <w:tcPr>
            <w:tcMar>
              <w:top w:type="dxa" w:w="55"/>
              <w:left w:type="dxa" w:w="115"/>
              <w:bottom w:type="dxa" w:w="55"/>
              <w:right w:type="dxa" w:w="115"/>
            </w:tcMar>
          </w:tcPr>
          <w:p>
            <w:r>
              <w:rPr>
                <w:b/>
                <w:bCs/>
                <w:sz w:val="18"/>
                <w:szCs w:val="18"/>
              </w:rPr>
              <w:t xml:space="preserve">depreciable amount</w:t>
            </w:r>
          </w:p>
        </w:tc>
        <w:tc>
          <w:tcPr>
            <w:tcMar>
              <w:top w:type="dxa" w:w="55"/>
              <w:left w:type="dxa" w:w="115"/>
              <w:bottom w:type="dxa" w:w="55"/>
              <w:right w:type="dxa" w:w="115"/>
            </w:tcMar>
          </w:tcPr>
          <w:p>
            <w:r>
              <w:rPr>
                <w:sz w:val="18"/>
                <w:szCs w:val="18"/>
              </w:rPr>
              <w:t xml:space="preserve">Cost less residual value: the total every method must write off.</w:t>
            </w:r>
          </w:p>
        </w:tc>
        <w:tc>
          <w:tcPr>
            <w:tcMar>
              <w:top w:type="dxa" w:w="55"/>
              <w:left w:type="dxa" w:w="115"/>
              <w:bottom w:type="dxa" w:w="55"/>
              <w:right w:type="dxa" w:w="115"/>
            </w:tcMar>
          </w:tcPr>
          <w:p>
            <w:pPr>
              <w:bidi/>
              <w:jc w:val="right"/>
            </w:pPr>
            <w:r>
              <w:rPr>
                <w:rFonts w:cs="Arial" w:ascii="Arial" w:hAnsi="Arial"/>
                <w:rtl/>
                <w:bidi/>
                <w:sz w:val="18"/>
                <w:szCs w:val="18"/>
              </w:rPr>
              <w:t xml:space="preserve">المبلغ القابل للإهلاك</w:t>
            </w:r>
          </w:p>
        </w:tc>
        <w:tc>
          <w:tcPr>
            <w:tcMar>
              <w:top w:type="dxa" w:w="55"/>
              <w:left w:type="dxa" w:w="115"/>
              <w:bottom w:type="dxa" w:w="55"/>
              <w:right w:type="dxa" w:w="115"/>
            </w:tcMar>
          </w:tcPr>
          <w:p>
            <w:r>
              <w:rPr>
                <w:color w:val="C0483F"/>
                <w:sz w:val="17"/>
                <w:szCs w:val="17"/>
              </w:rPr>
              <w:t xml:space="preserve">Fixed before any method is chosen. The method decides only the pattern, never the total.</w:t>
            </w:r>
          </w:p>
        </w:tc>
      </w:tr>
      <w:tr>
        <w:tc>
          <w:tcPr>
            <w:tcMar>
              <w:top w:type="dxa" w:w="55"/>
              <w:left w:type="dxa" w:w="115"/>
              <w:bottom w:type="dxa" w:w="55"/>
              <w:right w:type="dxa" w:w="115"/>
            </w:tcMar>
          </w:tcPr>
          <w:p>
            <w:r>
              <w:rPr>
                <w:b/>
                <w:bCs/>
                <w:sz w:val="18"/>
                <w:szCs w:val="18"/>
              </w:rPr>
              <w:t xml:space="preserve">residual value</w:t>
            </w:r>
          </w:p>
        </w:tc>
        <w:tc>
          <w:tcPr>
            <w:tcMar>
              <w:top w:type="dxa" w:w="55"/>
              <w:left w:type="dxa" w:w="115"/>
              <w:bottom w:type="dxa" w:w="55"/>
              <w:right w:type="dxa" w:w="115"/>
            </w:tcMar>
          </w:tcPr>
          <w:p>
            <w:r>
              <w:rPr>
                <w:sz w:val="18"/>
                <w:szCs w:val="18"/>
              </w:rPr>
              <w:t xml:space="preserve">What the company expects to receive for the asset when it has finished with it.</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المتبقية</w:t>
            </w:r>
          </w:p>
        </w:tc>
        <w:tc>
          <w:tcPr>
            <w:tcMar>
              <w:top w:type="dxa" w:w="55"/>
              <w:left w:type="dxa" w:w="115"/>
              <w:bottom w:type="dxa" w:w="55"/>
              <w:right w:type="dxa" w:w="115"/>
            </w:tcMar>
          </w:tcPr>
          <w:p>
            <w:r>
              <w:rPr>
                <w:color w:val="C0483F"/>
                <w:sz w:val="17"/>
                <w:szCs w:val="17"/>
              </w:rPr>
              <w:t xml:space="preserve">Deducted before anything is spread. One method leaves it out of the formula and still may not go below it.</w:t>
            </w:r>
          </w:p>
        </w:tc>
      </w:tr>
      <w:tr>
        <w:tc>
          <w:tcPr>
            <w:tcMar>
              <w:top w:type="dxa" w:w="55"/>
              <w:left w:type="dxa" w:w="115"/>
              <w:bottom w:type="dxa" w:w="55"/>
              <w:right w:type="dxa" w:w="115"/>
            </w:tcMar>
          </w:tcPr>
          <w:p>
            <w:r>
              <w:rPr>
                <w:b/>
                <w:bCs/>
                <w:sz w:val="18"/>
                <w:szCs w:val="18"/>
              </w:rPr>
              <w:t xml:space="preserve">useful life</w:t>
            </w:r>
          </w:p>
        </w:tc>
        <w:tc>
          <w:tcPr>
            <w:tcMar>
              <w:top w:type="dxa" w:w="55"/>
              <w:left w:type="dxa" w:w="115"/>
              <w:bottom w:type="dxa" w:w="55"/>
              <w:right w:type="dxa" w:w="115"/>
            </w:tcMar>
          </w:tcPr>
          <w:p>
            <w:r>
              <w:rPr>
                <w:sz w:val="18"/>
                <w:szCs w:val="18"/>
              </w:rPr>
              <w:t xml:space="preserve">The number of years, or the output, over which this company expects to use the asset.</w:t>
            </w:r>
          </w:p>
        </w:tc>
        <w:tc>
          <w:tcPr>
            <w:tcMar>
              <w:top w:type="dxa" w:w="55"/>
              <w:left w:type="dxa" w:w="115"/>
              <w:bottom w:type="dxa" w:w="55"/>
              <w:right w:type="dxa" w:w="115"/>
            </w:tcMar>
          </w:tcPr>
          <w:p>
            <w:pPr>
              <w:bidi/>
              <w:jc w:val="right"/>
            </w:pPr>
            <w:r>
              <w:rPr>
                <w:rFonts w:cs="Arial" w:ascii="Arial" w:hAnsi="Arial"/>
                <w:rtl/>
                <w:bidi/>
                <w:sz w:val="18"/>
                <w:szCs w:val="18"/>
              </w:rPr>
              <w:t xml:space="preserve">العمر الإنتاجي</w:t>
            </w:r>
          </w:p>
        </w:tc>
        <w:tc>
          <w:tcPr>
            <w:tcMar>
              <w:top w:type="dxa" w:w="55"/>
              <w:left w:type="dxa" w:w="115"/>
              <w:bottom w:type="dxa" w:w="55"/>
              <w:right w:type="dxa" w:w="115"/>
            </w:tcMar>
          </w:tcPr>
          <w:p>
            <w:r>
              <w:rPr>
                <w:color w:val="C0483F"/>
                <w:sz w:val="17"/>
                <w:szCs w:val="17"/>
              </w:rPr>
              <w:t xml:space="preserve">The company’s own expected use, not how long the asset could last for somebody else.</w:t>
            </w:r>
          </w:p>
        </w:tc>
      </w:tr>
    </w:tbl>
    <w:p/>
    <w:p>
      <w:pPr>
        <w:sectPr>
          <w:headerReference w:type="default" r:id="rIdHdr4"/>
          <w:pgSz w:w="11906" w:h="16838" w:orient="portrait"/>
          <w:pgMar w:top="1180" w:right="1000" w:bottom="900" w:left="1000" w:header="708" w:footer="708" w:gutter="0"/>
          <w:docGrid w:linePitch="360"/>
          <w:pgNumType w:start="1"/>
        </w:sectPr>
      </w:pPr>
    </w:p>
    <w:sectPr>
      <w:headerReference w:type="default" r:id="rIdHdr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5 · how to use these handouts</w:t>
          </w:r>
        </w:p>
      </w:tc>
      <w:tc>
        <w:tcPr>
          <w:tcW w:type="pct" w:w="1400"/>
          <w:tcMar>
            <w:top w:type="dxa" w:w="-30"/>
            <w:left w:type="dxa" w:w="30"/>
            <w:bottom w:type="dxa" w:w="-30"/>
            <w:right w:type="dxa" w:w="30"/>
          </w:tcMar>
        </w:tcPr>
        <w:p>
          <w:pPr>
            <w:jc w:val="right"/>
          </w:pPr>
          <w:r>
            <w:rPr>
              <w:color w:val="6B7280"/>
              <w:sz w:val="16"/>
              <w:szCs w:val="16"/>
            </w:rPr>
            <w:t xml:space="preserve">Long-Lived Assets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The Depreciation Methods, Side by Side</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5</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60d9a8301ab67cc7604140b7c9db1a2fc7245ddc.png" Type="http://schemas.openxmlformats.org/officeDocument/2006/relationships/image"/><Relationship Id="rId102" Target="media/f3725e14c906d9515cc119cda524ecb2f7bd777c.png" Type="http://schemas.openxmlformats.org/officeDocument/2006/relationships/image"/><Relationship Id="rId103" Target="media/f671ba32de3967bb70b00bb825911e5d059ad306.png" Type="http://schemas.openxmlformats.org/officeDocument/2006/relationships/image"/><Relationship Id="rId104" Target="media/a06ef65cc4a1432305ada7c416ed65d8704a9583.png" Type="http://schemas.openxmlformats.org/officeDocument/2006/relationships/image"/><Relationship Id="rId105" Target="media/3cad2f113de091e11842d1e62feb48279e605dcb.png" Type="http://schemas.openxmlformats.org/officeDocument/2006/relationships/image"/><Relationship Id="rId106" Target="media/26a298ac648c6ec067847494b3173d8112406750.png" Type="http://schemas.openxmlformats.org/officeDocument/2006/relationships/image"/><Relationship Id="rId107" Target="media/1694fd02723f0f892051728c0a3d19af2df26b0a.png" Type="http://schemas.openxmlformats.org/officeDocument/2006/relationships/image"/><Relationship Id="rId108" Target="media/a4263c3c9b31da0a5db3fd5dabc07172aa2d43b1.png" Type="http://schemas.openxmlformats.org/officeDocument/2006/relationships/image"/><Relationship Id="rId109" Target="media/faceddf6caa5d0f1d111c4468bac9ab9411a8d1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5 · Long-Lived Assets</dc:title>
  <dc:subject>Interactive handouts with answer key</dc:subject>
  <cp:category>Student Book</cp:category>
</cp:coreProperties>
</file>