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Purpose and structure of the balance sheet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74"/>
        <w:gridCol w:w="3999"/>
        <w:gridCol w:w="362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0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8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2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Purpose and structure of the balance sheet</w:t>
            </w:r>
          </w:p>
        </w:tc>
        <w:tc>
          <w:tcPr>
            <w:tcW w:type="pct" w:w="20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Orontes Foods Inc. (whole USD)</w:t>
            </w:r>
          </w:p>
        </w:tc>
        <w:tc>
          <w:tcPr>
            <w:tcW w:type="pct" w:w="18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question does the balance sheet help users answer MOST directly?</w:t>
            </w:r>
          </w:p>
        </w:tc>
      </w:tr>
      <w:tr>
        <w:tc>
          <w:tcPr>
            <w:tcW w:type="pct" w:w="102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0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 · The English the exam uses, and what it translates · Orontes Foods Inc. (whole USD)</w:t>
            </w:r>
          </w:p>
        </w:tc>
        <w:tc>
          <w:tcPr>
            <w:tcW w:type="pct" w:w="18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0"/>
        <w:gridCol w:w="4880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working capital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liquidity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</w:t>
            </w:r>
          </w:p>
        </w:tc>
        <w:tc>
          <w:tcPr>
            <w:tcW w:type="pct" w:w="254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45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 of setoff</w:t>
            </w:r>
          </w:p>
        </w:tc>
        <w:tc>
          <w:tcPr>
            <w:tcW w:type="pct" w:w="254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working capital   ·   current assets   ·   balance sheet   ·   liquidity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reports a company's assets, liabilities and equity at one point in time. It answers three questions for investors and lenders. Can the company pay its bills in the coming months?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pay all its debts over time?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assets   ·   working capital   ·   solvency   ·   liquidity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Some companies, such as banks, list items in order of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instead, without a current subtotal. All the amounts come from the same records as the earlier chapters on receivables, inventory, investments and long-lived assets. For example, the equity-method investments include Jordan Glass Co.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come first, from cash down to assets held for sale.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liquidity   ·   current assets   ·   financial flexibility   ·   solvency   ·   working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Can the company pay its bills in the coming months?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pay all its debts over time? This is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 Can it raise cash or change its plans if something unexpected happens? This is </w:t>
      </w:r>
      <w:r>
        <w:rPr>
          <w:u w:val="single"/>
          <w:sz w:val="19"/>
          <w:szCs w:val="19"/>
        </w:rPr>
        <w:t xml:space="preserve">            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Purpose and structure of the balance sheet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book’s own table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2.2?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2.3?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 and noncurrent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2.4?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Which question does the balance sheet help users answer MOST directly?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profitable was the company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How much cash did operations produce this year?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What is the market value of the company?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Can the company pay its debts as they fall due?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ability of a company to take effective action to change the amounts and timing of cash flows is called: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liquidity.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solvency.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financial flexibility.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working capital.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Why do U.S. SEC registrants present a classified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So users can separate short-term resources and obligations from long-term ones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So assets are shown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So equity equals the market value of the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So the balance sheet can be prepared without notes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item is a noncurrent asset?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Prepaid rent for the next six months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Trading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Inventory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Cash surrender value of a life insurance policy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Which question does the balance sheet help users answer MOST directly?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How profitable was the company this year?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How much cash did operations produce this year?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What is the market value of the company?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Can the company pay its debts as they fall due?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الميزانية العمومية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working capital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العامل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السيولة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تعهد (شرط) في اتفاقية القرض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right of setoff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حق المقاصة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تعهد (شرط) في اتفاقية القرض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الميزانية العمومية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حق المقاصة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السيولة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رأس المال العامل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right of setoff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liquidity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working capital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covenant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category does the book give for Prepaid rent?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Equity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category does the book give for Land?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Which category does the book give for Allowance for credit losses?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Equity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The extract for this question is printed with it. What is Orontes's working capital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2,908,475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10,064,100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9,908,100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10,308,100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24.  </w:t>
      </w:r>
      <w:r>
        <w:rPr>
          <w:sz w:val="19"/>
          <w:szCs w:val="19"/>
        </w:rPr>
        <w:t xml:space="preserve">The extract for this question is printed with it. What is Orontes's current ratio at December 31, 2025?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0.30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3.31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2.35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3.62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25.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27.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balance sheet  ·  working capital  ·  liquidity  ·  covenant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Current and noncurrent items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849"/>
        <w:gridCol w:w="2759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6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and noncurrent items</w:t>
            </w:r>
          </w:p>
        </w:tc>
        <w:tc>
          <w:tcPr>
            <w:tcW w:type="pct" w:w="143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 · the book’s own rule, gapped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lender wants to know if Orontes can pay the bills that fall due in the next few months. Which quality is the lender assessing?</w:t>
            </w:r>
          </w:p>
        </w:tc>
      </w:tr>
      <w:tr>
        <w:tc>
          <w:tcPr>
            <w:tcW w:type="pct" w:w="96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3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Item · 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classified balance sheet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solvency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waiver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liabilities   ·   current assets   ·   operating cycle   ·   grace period   ·   solvency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the average time from buying materials to collecting cash from customers.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are obligations the company expects to settle by using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or by creating other current liabilities.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ratio   ·   solvency   ·   current assets   ·   current liabilities   ·   current portion of long-term debt   ·   grace period   ·   Working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the liability side,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 is current, because that part of the principal is due within a year. Two measures come directly from these totals.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minus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is current assets divided by current liabilities.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working capital   ·   current assets   ·   current ratio   ·   grace period   ·   current liabilities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Paying a supplier in cash reduces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by the same amount: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does not change, but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changes. Reclassifying debt from current to noncurrent increases working capital and the current ratio.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Current and noncurrent items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classification of Cash set aside in a sinking fund to repay bonds in 2029 as “Noncurrent asset”.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12"/>
        <w:gridCol w:w="1072"/>
        <w:gridCol w:w="361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Classification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Reason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set aside in a sinking fund to repay bonds in 2029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for a noncurrent purpose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Date vinegar that Orontes ages for 18 months before sale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operating cycle is longer than one year, so the cycle applies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surrender value of an executive life insurance policy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Bank loan due on demand; the bank has never asked for repayment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 from warranty costs expected to reverse next year</w:t>
            </w:r>
          </w:p>
        </w:tc>
        <w:tc>
          <w:tcPr>
            <w:tcW w:type="pct" w:w="55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deposits for orders to be delivered next month</w:t>
            </w:r>
          </w:p>
        </w:tc>
        <w:tc>
          <w:tcPr>
            <w:tcW w:type="pct" w:w="55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88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classification does the book give for Cash set aside in a sinking fund to repay bonds in 2029?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classification does the book give for Date vinegar that Orontes ages for 18 months before sale?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classification does the book give for Cash surrender value of an executive life insurance policy?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________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classification does the book give for Bank loan due on demand; the bank has never asked for repayment?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________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Noncurrent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reason of Cash set aside in a sinking fund to repay bonds in 2029 as “Restricted for a noncurrent purpose”.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reason of Date vinegar that Orontes ages for 18 months before sale as “________”.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working capital  ·  grace period  ·  current assets  ·  current liabilities  ·  classified balance sheet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Paying a supplier in cash reduces </w:t>
            </w:r>
            <w:r>
              <w:rPr>
                <w:u w:val="single"/>
                <w:sz w:val="19"/>
                <w:szCs w:val="19"/>
              </w:rPr>
              <w:t xml:space="preserve">                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 by the same amount: </w:t>
            </w:r>
            <w:r>
              <w:rPr>
                <w:u w:val="single"/>
                <w:sz w:val="19"/>
                <w:szCs w:val="19"/>
              </w:rPr>
              <w:t xml:space="preserve">                 </w:t>
            </w:r>
            <w:r>
              <w:rPr>
                <w:sz w:val="19"/>
                <w:szCs w:val="19"/>
              </w:rPr>
              <w:t xml:space="preserve"> does not change, but the current ratio changes.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set aside in a sinking fund to repay bonds in 2029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surrender value of an executive life insurance policy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Classification: Noncurrent asset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Classification: ________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reason of Cash set aside in a sinking fund to repay bonds in 2029?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Restricted for a noncurrent purpose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________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both of them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neither of them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cheese maker ages its cheese for two years before sale. How does it classify its cheese inventory?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Noncurrent, because it will not be sold within one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Current, because its operating cycle is longer than one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Half current, half noncurrent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Noncurrent until the last year of aging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Early in 2026, Orontes pays $500,000 of accounts payable in cash. What happens to its working capital and its current ratio of 3.31?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Both fall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Working capital falls; the current ratio does not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Working capital does not change; the current ratio rises to 3.62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Neither changes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with a current ratio of 0.8 borrows cash on a 90-day note. What is the effect on the current ratio?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It increases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It does not change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It decreases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cannot be determined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At December 31, 2025, a company violates a covenant and its long-term loan becomes callable. On February 10, 2026, before the statements are issued, the lender waives its rights until June 2027. Under U.S. GAAP the loan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current, because the waiver came after year-end.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current, because the violation happened.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split: half current, half noncurrent.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noncurrent.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bank loan is due on demand. The bank has never asked for repayment and the company does not expect it to. The loan is classified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noncurrent.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noncurrent unless the bank demands payment.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equity.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66"/>
        <w:gridCol w:w="224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7,302,100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2,100,000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Trading securities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receivable, net of allowance (2025: 156,000; 2024: 140,000)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4,144,000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3,760,000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2,450,000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2,300,000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expenses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204,000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Assets held for sale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46,000</w:t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assets</w:t>
            </w:r>
          </w:p>
        </w:tc>
        <w:tc>
          <w:tcPr>
            <w:tcW w:type="pct" w:w="12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14,188,100</w:t>
            </w:r>
          </w:p>
        </w:tc>
        <w:tc>
          <w:tcPr>
            <w:tcW w:type="pct" w:w="1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8,380,000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assets</w:t>
            </w:r>
          </w:p>
        </w:tc>
        <w:tc>
          <w:tcPr>
            <w:tcW w:type="pct" w:w="12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09"/>
        <w:gridCol w:w="229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Debt securities (held-to-maturity and available-for-sale)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88,500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 securities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27,000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Equity-method investments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1,807,000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Property, plant and equipment, net of accumulated depreciation (2025: 11,988,000; 2024: 8,000,000)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14,802,000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Brand (indefinite-lived)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Goodwill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noncurrent assets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ASSETS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LIABILITIES AND STOCKHOLDERS' EQUITY</w:t>
            </w:r>
          </w:p>
        </w:tc>
        <w:tc>
          <w:tcPr>
            <w:tcW w:type="pct" w:w="12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12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9"/>
        <w:gridCol w:w="2279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2,050,000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Accrued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850,000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Income taxes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350,000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Contract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180,000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120,000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current liabilities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4,280,000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3,570,000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Long-term debt, less current portion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6,000,000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5,600,000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liability</w:t>
            </w:r>
          </w:p>
        </w:tc>
        <w:tc>
          <w:tcPr>
            <w:tcW w:type="pct" w:w="121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999,625</w:t>
            </w:r>
          </w:p>
        </w:tc>
        <w:tc>
          <w:tcPr>
            <w:tcW w:type="pct" w:w="11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</w:t>
            </w:r>
          </w:p>
        </w:tc>
        <w:tc>
          <w:tcPr>
            <w:tcW w:type="pct" w:w="121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11,279,625</w:t>
            </w:r>
          </w:p>
        </w:tc>
        <w:tc>
          <w:tcPr>
            <w:tcW w:type="pct" w:w="11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10,070,000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22"/>
        <w:gridCol w:w="228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Orontes Foods Inc. (whole USD) — the extract for the question that follows (continued)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Orontes Foods Inc. (whole USD)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Dec 31, 2024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Commitments and contingencies (Note 12)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par; shares issued and outstanding: 2025 8,100,000, 2024 8,000,000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8,000,000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5,400,000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4,000,000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6,894,100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other comprehensive income (loss)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(1,125)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21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20,392,975</w:t>
            </w:r>
          </w:p>
        </w:tc>
        <w:tc>
          <w:tcPr>
            <w:tcW w:type="pct" w:w="119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16,375,000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LIABILITIES AND STOCKHOLDERS' EQUITY</w:t>
            </w:r>
          </w:p>
        </w:tc>
        <w:tc>
          <w:tcPr>
            <w:tcW w:type="pct" w:w="121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31,672,600</w:t>
            </w:r>
          </w:p>
        </w:tc>
        <w:tc>
          <w:tcPr>
            <w:tcW w:type="pct" w:w="119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26,445,000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The extract for this question is printed with it. What was Orontes's working capital at December 31, 2024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(1,690,000)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8,380,000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4,810,000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9,908,100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A lender wants to know if Orontes can pay the bills that fall due in the next few months. Which quality is the lender assessing?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Solvency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Profitability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Financial flexibility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surrender value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asset: it is not expected to be turned into cash in the operating cycle.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Loan due on demand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liability: debt due on demand is current, whatever the bank's expected behaviour.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asset: all deferred taxes are noncurrent.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Customer deposits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 (contract liability): it will be settled by delivering goods within a year.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classified balance sheet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المركز المالي المبوبة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portion of long-term debt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الجزء المتداول من الديون طويلة الأجل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solvency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الملاءة المالية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waiver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تنازل (إعفاء) من الدائن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الجزء المتداول من الديون طويلة الأجل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تنازل (إعفاء) من الدائن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قائمة المركز المالي المبوبة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الملاءة المالية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21.  </w:t>
      </w:r>
      <w:r>
        <w:rPr>
          <w:sz w:val="18"/>
          <w:szCs w:val="18"/>
        </w:rPr>
        <w:t xml:space="preserve">solvency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22.  </w:t>
      </w:r>
      <w:r>
        <w:rPr>
          <w:sz w:val="18"/>
          <w:szCs w:val="18"/>
        </w:rPr>
        <w:t xml:space="preserve">current portion of long-term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23.  </w:t>
      </w:r>
      <w:r>
        <w:rPr>
          <w:sz w:val="18"/>
          <w:szCs w:val="18"/>
        </w:rPr>
        <w:t xml:space="preserve">classified 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24.  </w:t>
      </w:r>
      <w:r>
        <w:rPr>
          <w:sz w:val="18"/>
          <w:szCs w:val="18"/>
        </w:rPr>
        <w:t xml:space="preserve">waiver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Which item does the book pair with “Noncurrent asset: it is not expected to be turned into cash in the operating cycle.”?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Deferred tax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Cash surrender value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Loan due on demand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Customer deposits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26.  </w:t>
      </w:r>
      <w:r>
        <w:rPr>
          <w:sz w:val="19"/>
          <w:szCs w:val="19"/>
        </w:rPr>
        <w:t xml:space="preserve">Which item does the book pair with “Current liability: debt due on demand is current, whatever the bank's expected behaviour.”?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surrender value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Loan due on demand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Deferred tax asset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Customer deposits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27.  </w:t>
      </w:r>
      <w:r>
        <w:rPr>
          <w:sz w:val="19"/>
          <w:szCs w:val="19"/>
        </w:rPr>
        <w:t xml:space="preserve">Which item does the book pair with “Noncurrent asset: all deferred taxes are noncurrent.”?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Loan due on demand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Deferred tax asset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Customer deposits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Cash surrender value</w:t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28.  </w:t>
      </w:r>
      <w:r>
        <w:rPr>
          <w:sz w:val="19"/>
          <w:szCs w:val="19"/>
        </w:rPr>
        <w:t xml:space="preserve">Which heading is correct for Orontes's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Balance sheet for the year ended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Balance sheet for the period January 1 to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Balance sheet as of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Balance sheet for 2025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29.  </w:t>
      </w:r>
      <w:r>
        <w:rPr>
          <w:sz w:val="19"/>
          <w:szCs w:val="19"/>
        </w:rPr>
        <w:t xml:space="preserve">At December 31, 2025, a company has a $5 million note due in April 2026. On February 1, 2026, before the statements are issued, it issues 10-year bonds and uses the cash to repay the note. Under U.S. GAAP the note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current, because the bonds were issued after year-end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noncurrent, because it was refinanced before issuance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current, because refinancing is never allowed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shown in equity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30.  </w:t>
      </w:r>
      <w:r>
        <w:rPr>
          <w:sz w:val="19"/>
          <w:szCs w:val="19"/>
        </w:rPr>
        <w:t xml:space="preserve">A loan agreement lets the lender demand repayment if there is a 'material adverse change'. The company is healthy and acceleration is remote. The long-term loan is: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noncurrent.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current, with a note.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current.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noncurrent only under IFRS.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31.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32.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33.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classified balance sheet  ·  current portion of long-term debt  ·  solvency  ·  waiver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Classifying debt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964"/>
        <w:gridCol w:w="2644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2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Classifying debt</w:t>
            </w:r>
          </w:p>
        </w:tc>
        <w:tc>
          <w:tcPr>
            <w:tcW w:type="pct" w:w="137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Situation at the reporting date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loss from a lawsuit is probable. Lawyers estimate it at between $40,000 and $100,000, with no amount more likely than another. Under U.S. GAAP the company accrues:</w:t>
            </w:r>
          </w:p>
        </w:tc>
      </w:tr>
      <w:tr>
        <w:tc>
          <w:tcPr>
            <w:tcW w:type="pct" w:w="102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7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callable debt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flexibility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grace period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grace period   ·   subsequent events   ·   callable debt   ·   covenant   ·   solvency   ·   waiver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a company breaks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the lender may be able to demand repayment at once. Such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is current, even if the company does not expect the lender to act. It stays noncurrent only if, before the statements are issued, the lender gives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for more than one year, or a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 exists and the company will probably cure the violation within 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solvency   ·   subsequent events   ·   refinancing   ·   waiver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Decision tree for classifying debt as current or noncurrent under U.S. IAS 1 asks one question: at the reporting date, does the company have a right to defer settlement for at least twelve months?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or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obtained after the reporting date does not count.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waiver   ·   covenant   ·   solvency   ·   subsequent events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SC2-5 A five-year loan is repaid in equal annual installments. SC2-6 At December 31 a company breaks a loan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, so the loan is payable on demand. On January 15, before the statements are issued, the bank gives an 18-month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Classifying debt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27"/>
        <w:gridCol w:w="2318"/>
        <w:gridCol w:w="2555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Situation at the reporting date — the book’s own table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Situation at the reporting date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U.S. GAAP (ASC 470-10)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IFRS (IAS 1)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Short-term debt refinanced long-term after year-end, before issuance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 (intent and demonstrated ability)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(no right to defer at the reporting date)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broken at year-end; waiver for more than 12 months obtained after year-end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broken at year-end; waiver obtained on or before year-end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Covenant tested only after year-end (future compliance doubtful)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Noncurrent; disclose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Noncurrent; disclose the risk</w:t>
            </w:r>
          </w:p>
        </w:tc>
      </w:tr>
      <w:tr>
        <w:tc>
          <w:tcPr>
            <w:tcW w:type="pct" w:w="24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only if acceleration is probable</w:t>
            </w:r>
          </w:p>
        </w:tc>
        <w:tc>
          <w:tcPr>
            <w:tcW w:type="pct" w:w="133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Ignored unless it removes the right to defer</w:t>
            </w:r>
          </w:p>
        </w:tc>
      </w:tr>
      <w:tr>
        <w:tc>
          <w:tcPr>
            <w:tcW w:type="pct" w:w="24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Deferred tax assets and liabilities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 noncurrent</w:t>
            </w:r>
          </w:p>
        </w:tc>
        <w:tc>
          <w:tcPr>
            <w:tcW w:type="pct" w:w="133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 non-current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2.2?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2.3?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 and noncurrent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2.4?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A loss from a lawsuit is probable. Lawyers estimate it at between $40,000 and $100,000, with no amount more likely than another. Under U.S. GAAP the company accrues: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$70,000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$100,000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nothing, and discloses the range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$40,000 and discloses the possible additional loss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On January 20, before the statements are issued, a customer that owed $80,000 at December 31 goes bankrupt. Its finances had been getting worse for months. What does the company do?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Adjusts the year-end allowance for credit losses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Discloses the event only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Records the loss next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Does nothing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company has a deferred tax asset that will reverse next year. On a U.S. GAAP balance sheet it is shown as: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current asset.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noncurrent asset.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reduction of income taxes payable.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split between current and noncurrent.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Which item is NOT usually recorded on the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brand the company bought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Goodwill from an acquisition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brand the company developed itself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Equipment under a finance lease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A loss from a lawsuit is probable. Lawyers estimate it at between $40,000 and $100,000, with no amount more likely than another. Under U.S. GAAP the company accrues: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$70,000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$100,000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nothing, and discloses the range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$40,000 and discloses the possible additional loss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assets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الأصول المتداولة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callable debt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دين قابل للاستدعاء (مستحق عند الطلب)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financial flexibility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المرونة المالية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grace period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فترة سماح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9600"/>
      </w:tblGrid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دين قابل للاستدعاء (مستحق عند الطلب)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فترة سماح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المرونة المالية</w:t>
            </w:r>
          </w:p>
        </w:tc>
      </w:tr>
      <w:tr>
        <w:tc>
          <w:tcPr>
            <w:tcW w:type="pct" w:w="50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الأصول المتداولة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current assets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16.  </w:t>
      </w:r>
      <w:r>
        <w:rPr>
          <w:sz w:val="18"/>
          <w:szCs w:val="18"/>
        </w:rPr>
        <w:t xml:space="preserve">financial flexibility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grace period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callable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company delays paying its suppliers until January so that its December 31 balance sheet shows more cash. This illustrates which limitation?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 uses historical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balance sheet omits internally developed intangibles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balance sheet relies on estimates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balance sheet shows only one date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Orontes's total stockholders' equity at December 31, 2025 is $20,392,975. This amount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market value of Orontes's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cash the owners could take out today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price a buyer would pay for Orontes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 book amount based mostly on historical cost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21.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23.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assets  ·  callable debt  ·  financial flexibility  ·  grace period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Other presentation matters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770"/>
        <w:gridCol w:w="2838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9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92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Other presentation matters</w:t>
            </w:r>
          </w:p>
        </w:tc>
        <w:tc>
          <w:tcPr>
            <w:tcW w:type="pct" w:w="1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Likelihood of the loss · the book’s own rule, gapped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Orontes's retained earnings were $4,375,000 on January 1, 2025. Net income was $2,969,100, OCI was $(1,125), and dividends declared were $450,000. What are retained earnings at December 31, 2025 (whole USD)?</w:t>
            </w:r>
          </w:p>
        </w:tc>
      </w:tr>
      <w:tr>
        <w:tc>
          <w:tcPr>
            <w:tcW w:type="pct" w:w="92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contingency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ratio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subsequent events   ·   solvency   ·   loss contingency   ·   balance sheet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few more rules decide what appears on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and how. All deferred tax assets and liabilities are noncurrent. A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is an existing situation that may cause a loss, such as a lawsuit.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Subsequent events   ·   balance sheet   ·   liquidity   ·   solvency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Gain contingencies are never recorded before they are realized.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happen after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date but before the statements are issued. If an event gives more information about a condition that already existed at year-end, the company adjusts the statements.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balance sheet   ·   solvency   ·   Subsequent events   ·   liquidity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it is only reasonably possible, the company discloses it in a note. If it is remote, the company does nothing. Gain contingencies are never recorded before they are realized.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happen after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date but before the statements are issued.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Other presentation matters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144"/>
        <w:gridCol w:w="4745"/>
        <w:gridCol w:w="371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Likelihood of the loss — the book’s own table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Likelihood of the loss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Recognition (if reasonably estimable)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Disclosure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Probable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 a liability and a loss (best estimate; if no best estimate, the minimum of the range)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Accrue and disclose</w:t>
            </w:r>
          </w:p>
        </w:tc>
      </w:tr>
      <w:tr>
        <w:tc>
          <w:tcPr>
            <w:tcW w:type="pct" w:w="5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Reasonably possible</w:t>
            </w:r>
          </w:p>
        </w:tc>
        <w:tc>
          <w:tcPr>
            <w:tcW w:type="pct" w:w="24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accrual</w:t>
            </w:r>
          </w:p>
        </w:tc>
        <w:tc>
          <w:tcPr>
            <w:tcW w:type="pct" w:w="19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Disclose the nature and an estimate (or say it cannot be estimated)</w:t>
            </w:r>
          </w:p>
        </w:tc>
      </w:tr>
      <w:tr>
        <w:tc>
          <w:tcPr>
            <w:tcW w:type="pct" w:w="59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Remote</w:t>
            </w:r>
          </w:p>
        </w:tc>
        <w:tc>
          <w:tcPr>
            <w:tcW w:type="pct" w:w="247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accrual</w:t>
            </w:r>
          </w:p>
        </w:tc>
        <w:tc>
          <w:tcPr>
            <w:tcW w:type="pct" w:w="19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disclosure (except guarantees)</w:t>
            </w:r>
          </w:p>
        </w:tc>
      </w:tr>
      <w:tr>
        <w:tc>
          <w:tcPr>
            <w:tcW w:type="pct" w:w="59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Gain contingency</w:t>
            </w:r>
          </w:p>
        </w:tc>
        <w:tc>
          <w:tcPr>
            <w:tcW w:type="pct" w:w="247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Never recognized before it is realized</w:t>
            </w:r>
          </w:p>
        </w:tc>
        <w:tc>
          <w:tcPr>
            <w:tcW w:type="pct" w:w="19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Disclose carefully, without misleading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likelihood of the loss does the book pair with “Accrue a liability and a loss (best estimate; if no best estimate, the minimum of the range)”?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Remote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Probable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Reasonably possible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likelihood of the loss does the book pair with “No accrual”?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Probable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Reasonably possible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likelihood of the loss does the book pair with “No accrual”?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Remote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Probable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likelihood of the loss does the book pair with “Never recognized before it is realized”?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Reasonably possible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Probable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Gain contingency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Remote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disclosure of Probable as “Accrue and disclose”.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disclosure of Reasonably possible as “Disclose carefully, without misleading”.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liquidity  ·  Subsequent events  ·  balance sheet  ·  loss contingency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/>
            </w:r>
            <w:r>
              <w:rPr>
                <w:u w:val="single"/>
                <w:sz w:val="19"/>
                <w:szCs w:val="19"/>
              </w:rPr>
              <w:t xml:space="preserve">                   </w:t>
            </w:r>
            <w:r>
              <w:rPr>
                <w:sz w:val="19"/>
                <w:szCs w:val="19"/>
              </w:rPr>
              <w:t xml:space="preserve"> happen after the </w:t>
            </w:r>
            <w:r>
              <w:rPr>
                <w:u w:val="single"/>
                <w:sz w:val="19"/>
                <w:szCs w:val="19"/>
              </w:rPr>
              <w:t xml:space="preserve">               </w:t>
            </w:r>
            <w:r>
              <w:rPr>
                <w:sz w:val="19"/>
                <w:szCs w:val="19"/>
              </w:rPr>
              <w:t xml:space="preserve"> date but before the statements are issued.</w:t>
            </w:r>
          </w:p>
        </w:tc>
      </w:tr>
    </w:tbl>
    <w:p/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Probable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Remote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Recognition (if reasonably estimable): Accrue a liability and a loss (best estimate; if no best estimate, the minimum of the range)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Recognition (if reasonably estimable): No accrual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disclosure of Probable?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Accrue and disclose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Disclose carefully, without misleading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No disclosure (except guarantees)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Orontes's retained earnings were $4,375,000 on January 1, 2025. Net income was $2,969,100, OCI was $(1,125), and dividends declared were $450,000. What are retained earnings at December 31, 2025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6,892,975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7,294,100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6,894,100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7,344,100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Company X owes Company Y $50,000, and Company Y owes Company X $30,000 on a separate contract. There is no legal right of setoff. How does Company X present these amounts?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 net payable of $20,000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net receivable of $20,000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receivable of $30,000 and a payable of $50,000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Only a note disclosure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15.  </w:t>
            </w:r>
            <w:r>
              <w:rPr>
                <w:sz w:val="19"/>
                <w:szCs w:val="19"/>
              </w:rPr>
              <w:t xml:space="preserve">Orontes's retained earnings were $4,375,000 on January 1, 2025. Net income was $2,969,100, OCI was $(1,125), and dividends declared were $450,000. What are retained earnings at December 31, 2025 (whole USD)?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6,892,975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6,894,100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7,294,100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7,344,100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35"/>
        <w:gridCol w:w="4665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liabilities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الالتزامات المتداولة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loss contingency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خسارة محتملة (التزام محتمل)</w:t>
            </w:r>
          </w:p>
        </w:tc>
      </w:tr>
      <w:tr>
        <w:tc>
          <w:tcPr>
            <w:tcW w:type="pct" w:w="25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ratio</w:t>
            </w:r>
          </w:p>
        </w:tc>
        <w:tc>
          <w:tcPr>
            <w:tcW w:type="pct" w:w="24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نسبة التداول</w:t>
            </w:r>
          </w:p>
        </w:tc>
      </w:tr>
      <w:tr>
        <w:tc>
          <w:tcPr>
            <w:tcW w:type="pct" w:w="25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subjective acceleration clause</w:t>
            </w:r>
          </w:p>
        </w:tc>
        <w:tc>
          <w:tcPr>
            <w:tcW w:type="pct" w:w="24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شرط التعجيل التقديري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خسارة محتملة (التزام محتمل)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الالتزامات المتداولة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نسبة التداول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شرط التعجيل التقديري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17.  </w:t>
      </w:r>
      <w:r>
        <w:rPr>
          <w:sz w:val="18"/>
          <w:szCs w:val="18"/>
        </w:rPr>
        <w:t xml:space="preserve">current liabilities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18.  </w:t>
      </w:r>
      <w:r>
        <w:rPr>
          <w:sz w:val="18"/>
          <w:szCs w:val="18"/>
        </w:rPr>
        <w:t xml:space="preserve">loss contingency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19.  </w:t>
      </w:r>
      <w:r>
        <w:rPr>
          <w:sz w:val="18"/>
          <w:szCs w:val="18"/>
        </w:rPr>
        <w:t xml:space="preserve">subjective acceleration clause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20.  </w:t>
      </w:r>
      <w:r>
        <w:rPr>
          <w:sz w:val="18"/>
          <w:szCs w:val="18"/>
        </w:rPr>
        <w:t xml:space="preserve">current ratio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current liabilities  ·  loss contingency  ·  current ratio  ·  subjective acceleration clause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to the other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2.5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466"/>
        <w:gridCol w:w="3171"/>
        <w:gridCol w:w="396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5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0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8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to the other statements</w:t>
            </w:r>
          </w:p>
        </w:tc>
        <w:tc>
          <w:tcPr>
            <w:tcW w:type="pct" w:w="165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Account / memo (USD 000)</w:t>
            </w:r>
          </w:p>
        </w:tc>
        <w:tc>
          <w:tcPr>
            <w:tcW w:type="pct" w:w="206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of these did this cycle settle?</w:t>
            </w:r>
          </w:p>
        </w:tc>
      </w:tr>
      <w:tr>
        <w:tc>
          <w:tcPr>
            <w:tcW w:type="pct" w:w="128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5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 · The English the exam uses, and what it translates</w:t>
            </w:r>
          </w:p>
        </w:tc>
        <w:tc>
          <w:tcPr>
            <w:tcW w:type="pct" w:w="206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57"/>
        <w:gridCol w:w="4743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cycle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subsequent events</w:t>
            </w:r>
          </w:p>
        </w:tc>
        <w:tc>
          <w:tcPr>
            <w:tcW w:type="pct" w:w="24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cash</w:t>
            </w:r>
          </w:p>
        </w:tc>
        <w:tc>
          <w:tcPr>
            <w:tcW w:type="pct" w:w="247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refinancing</w:t>
            </w:r>
          </w:p>
        </w:tc>
        <w:tc>
          <w:tcPr>
            <w:tcW w:type="pct" w:w="247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valuation   ·   Orontes's   ·   callable debt   ·   historical   ·   operating cycle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balance sheet is useful, but it is not a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of the company. Most assets are at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cost, not current value: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land and buildings are shown at what they cost years ago. Many amounts depend on estimates, such as the allowance for credit losses and useful lives.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callable debt   ·   therefore   ·   suppliers   ·   operating cycle   ·   statements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Finally, the balance sheet shows one day. A company can improve its year-end picture, for example by delaying payments to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for a few days. Readers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compare several dates and read the other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 too.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callable debt   ·   operating cycle   ·   balance-sheet   ·   comprehensive   ·   stockholders'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net change in cash in the statement of cash flows explains the change in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cash. Other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income works the same way. Total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equity is a book amount.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to the other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0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0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406"/>
        <w:gridCol w:w="220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/ memo (USD 000)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 / memo (USD 000)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/ details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Side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1,050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receivable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300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Inventory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420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24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936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Equipment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4,200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debit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Accumulated depreciation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900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Accounts payable</w:t>
            </w:r>
          </w:p>
        </w:tc>
        <w:tc>
          <w:tcPr>
            <w:tcW w:type="pct" w:w="125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380</w:t>
            </w:r>
          </w:p>
        </w:tc>
        <w:tc>
          <w:tcPr>
            <w:tcW w:type="pct" w:w="114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125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50</w:t>
            </w:r>
          </w:p>
        </w:tc>
        <w:tc>
          <w:tcPr>
            <w:tcW w:type="pct" w:w="114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744"/>
        <w:gridCol w:w="4992"/>
        <w:gridCol w:w="86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/ memo (USD 000) — the book’s own table (continued)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 / memo (USD 000)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/ details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Side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Notes payable (long-term)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1,800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600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earnings, December 31 (after closing)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1,280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credit</w:t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Of the notes payable, 300 is an installment due on June 30, 2026. The rest is due in 2029.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At December 31, Barada broke a debt-to-equity covenant on the note. On January 20, 2026, before the statements were issued, the bank waived 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former employee has sued Barada. Its lawyers think a loss of about 60 is reasonably possible, but not probable.</w:t>
            </w:r>
          </w:p>
        </w:tc>
        <w:tc>
          <w:tcPr>
            <w:tcW w:type="pct" w:w="4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19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On February 10, 2026, before the statements were issued, a fire destroyed inventory that cost 70.</w:t>
            </w:r>
          </w:p>
        </w:tc>
        <w:tc>
          <w:tcPr>
            <w:tcW w:type="pct" w:w="45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2.2?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2.3?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 and noncurrent items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2.4?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rule you have just written is the book’s own rule.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Which of these did this cycle settle?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rule and where it comes from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nothing in particular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only the vocabulary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the arithmetic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Prepaid rent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Land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Allowance for credit losses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operating cycle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دورة التشغيل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subsequent events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الأحداث اللاحقة لتاريخ الميزانية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restricted cash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النقد المقيد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refinancing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إعادة التمويل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24"/>
      </w:pPr>
      <w:r>
        <w:rPr>
          <w:sz w:val="19"/>
          <w:szCs w:val="19"/>
        </w:rPr>
        <w:t xml:space="preserve">Write the letter of the Arabic term beside each English term. Every term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النقد المقيد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إعادة التمويل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الأحداث اللاحقة لتاريخ الميزانية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دورة التشغيل</w:t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operating cycle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13.  </w:t>
      </w:r>
      <w:r>
        <w:rPr>
          <w:sz w:val="18"/>
          <w:szCs w:val="18"/>
        </w:rPr>
        <w:t xml:space="preserve">subsequent events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14.  </w:t>
      </w:r>
      <w:r>
        <w:rPr>
          <w:sz w:val="18"/>
          <w:szCs w:val="18"/>
        </w:rPr>
        <w:t xml:space="preserve">restricted cash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15.  </w:t>
      </w:r>
      <w:r>
        <w:rPr>
          <w:sz w:val="18"/>
          <w:szCs w:val="18"/>
        </w:rPr>
        <w:t xml:space="preserve">refinancing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2203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20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operating cycle  ·  subsequent events  ·  restricted cash  ·  refinancing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2.6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214"/>
        <w:gridCol w:w="4160"/>
        <w:gridCol w:w="4226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five-year loan is repaid in equal annual installments. At year-end, how is the next installment classified?</w:t>
            </w:r>
          </w:p>
        </w:tc>
      </w:tr>
      <w:tr>
        <w:tc>
          <w:tcPr>
            <w:tcW w:type="pct" w:w="63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1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</w:t>
            </w:r>
          </w:p>
        </w:tc>
        <w:tc>
          <w:tcPr>
            <w:tcW w:type="pct" w:w="220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63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1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balance sheet · classified balance sheet · current assets · current liabilities · operating cycle · working capital</w:t>
            </w:r>
          </w:p>
        </w:tc>
        <w:tc>
          <w:tcPr>
            <w:tcW w:type="pct" w:w="220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assets   ·   Working capital   ·   current ratio   ·   balance sheet   ·   callable debt   ·   current portion of long-term debt   ·   current liabilities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the liability side, </w:t>
      </w:r>
      <w:r>
        <w:rPr>
          <w:u w:val="single"/>
          <w:sz w:val="19"/>
          <w:szCs w:val="19"/>
        </w:rPr>
        <w:t xml:space="preserve">                                   </w:t>
      </w:r>
      <w:r>
        <w:rPr>
          <w:sz w:val="19"/>
          <w:szCs w:val="19"/>
        </w:rPr>
        <w:t xml:space="preserve"> is current, because that part of the principal is due within a year. Two measures come directly from these totals.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minus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.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is current assets divided by current liabilities.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current liabilities   ·   balance sheet   ·   working capital   ·   current assets   ·   current ratio   ·   callable debt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Paying a supplier in cash reduces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and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by the same amount: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does not change, but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changes. Reclassifying debt from current to noncurrent increases working capital and the current ratio.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classified balance sheet   ·   Subsequent events   ·   callable debt   ·   balance sheet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If it is only reasonably possible, the company discloses it in a note. If it is remote, the company does nothing. Gain contingencies are never recorded before they are realized.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happen after the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date but before the statements are issued.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2.1?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Other presentation matters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Purpose and structure of the balance sheet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2.2?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2.3?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Current and noncurrent items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Classifying debt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Purpose and structure of 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Other presentation matters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2.1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2.4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2.2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2.5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2.3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Purpose and structure of the balance sheet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Current and noncurrent items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Classifying debt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Other presentation matters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Limitations and links to the other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Orontes bought land in 2005 for $400,000. It is worth about $2 million today. What does the balance sheet show for the land?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$400,000, because land is at historical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$2,000,000, because the balance sheet shows current values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$1,200,000, the average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$400,000 plus depreciation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A five-year loan is repaid in equal annual installments. At year-end, how is the next installment classified?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noncurrent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current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reduction of cash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in a note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account. (On the exam screen you would drag each account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total current assets.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total current liabilities.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Barada's working capital.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report the February fire (M4)? [select]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C2-6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How does Barada report the lawsuit (M3)? [select]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of these does item C2-1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does Barada report the lawsuit (M3)?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total current liabilities.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does Barada report the February fire (M4)?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account. (On the exam screen you would drag each account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C2-2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working capital.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How does Barada report the lawsuit (M3)?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total current liabilities.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C2-3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does Barada report the lawsuit (M3)?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working capital.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total current liabilities.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C2-4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Barada's working capital.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Barada's total current liabilities.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How does Barada report the lawsuit (M3)? [select]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C2-5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does Barada report the lawsuit (M3)?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total current liabilities.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does Barada report the February fire (M4)?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account. (On the exam screen you would drag each account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C2-6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How does Barada report the lawsuit (M3)?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Barada's total current assets.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How does Barada report the February fire (M4)? [select]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Barada's total current liabilities.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five-year loan is repaid in equal annual installments. At year-end, how is the next installment classified?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noncurrent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reduction of cash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As a 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Only in a note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At December 31 a company breaks a loan covenant, so the loan is payable on demand. On January 15, before the statements are issued, the bank gives an 18-month waiver. How is the loan classified under IFRS?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Noncurrent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Current under IFRS only if the bank is expected to demand payment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Split between current and noncurrent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Current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balance sheet  ·  classified balance sheet  ·  current assets  ·  current liabilities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2.1 · Purpose and structure of the balance sheet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9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2.2 · Current and noncurrent items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8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2.3 · Classifying debt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2.4 · Other presentation matters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2.5 · Limitations and links to the other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2.6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2.6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ae9786300255c9dc8942057f75236db5ff2cb24d.png" Type="http://schemas.openxmlformats.org/officeDocument/2006/relationships/image"/><Relationship Id="rId102" Target="media/b3960b9349de08a0c131642000a66c257466ed6a.png" Type="http://schemas.openxmlformats.org/officeDocument/2006/relationships/image"/><Relationship Id="rId103" Target="media/30701031faef767810c9a70a5a78a892316e1400.png" Type="http://schemas.openxmlformats.org/officeDocument/2006/relationships/image"/><Relationship Id="rId104" Target="media/799f36176517fdf7b295dc53bd34d19e8fc1f3eb.png" Type="http://schemas.openxmlformats.org/officeDocument/2006/relationships/image"/><Relationship Id="rId105" Target="media/43092601b107c3907ef7b331414f15a9ed65c8b1.png" Type="http://schemas.openxmlformats.org/officeDocument/2006/relationships/image"/><Relationship Id="rId106" Target="media/c9c7849c06be1871e6a6bb770a4c89a70e222c1f.png" Type="http://schemas.openxmlformats.org/officeDocument/2006/relationships/image"/><Relationship Id="rId107" Target="media/05035e337dd76d8798835c116900bc14604b28a9.png" Type="http://schemas.openxmlformats.org/officeDocument/2006/relationships/image"/><Relationship Id="rId108" Target="media/5a5eba52eec32c9a8889f175b076eb7dafb8cb41.png" Type="http://schemas.openxmlformats.org/officeDocument/2006/relationships/image"/><Relationship Id="rId109" Target="media/f8db37c6b788239d6bd9652c133218200e329043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2</dc:title>
  <dc:subject>The Balance Sheet</dc:subject>
  <cp:category>Student Book</cp:category>
</cp:coreProperties>
</file>