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6.1 · Recognizing and measuring receivables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receivable · unconditional · transfers</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Secured borrowing: T3, T4</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E</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questions · discounts · forfeited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B</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discount · amortized · Receivable</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B</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A company records an account receivable when its right to be paid is unconditional: only the passage of time is needed before payment is due. This usually happens when it delivers the goods or services and transfers control (Chapter 11). If the company still has to do something else before it can bill, for example finish a second delivery, it has a contract </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Sale: T1, T2</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 company records an account receivable when its right to be paid is unconditional: only the passage of time is needed before payment is due. This usually happens when it delivers the goods or services and transfers control (Chapter 11). If the company still has to do something else before it can bill, for example finish a second delivery, it has a contract asset, not a receivable.”</w:t>
      </w:r>
    </w:p>
    <w:p>
      <w:pPr>
        <w:spacing w:after="18"/>
        <w:ind w:left="300" w:hanging="300"/>
      </w:pPr>
      <w:r>
        <w:rPr>
          <w:b/>
          <w:bCs/>
          <w:color w:val="8186EF"/>
          <w:sz w:val="16"/>
          <w:szCs w:val="16"/>
        </w:rPr>
        <w:t xml:space="preserve">2  </w:t>
      </w:r>
      <w:r>
        <w:rPr>
          <w:sz w:val="16"/>
          <w:szCs w:val="16"/>
        </w:rPr>
        <w:t xml:space="preserve">The book writes: “Some older questions still use the gross and net methods. Under the gross method, the company records the full invoice and records a sales discount only when a customer pays early. Under the net method, it records the sale net of the discount, and records sales discounts forfeited when a customer pays late.”</w:t>
      </w:r>
    </w:p>
    <w:p>
      <w:pPr>
        <w:spacing w:after="18"/>
        <w:ind w:left="300" w:hanging="300"/>
      </w:pPr>
      <w:r>
        <w:rPr>
          <w:b/>
          <w:bCs/>
          <w:color w:val="8186EF"/>
          <w:sz w:val="16"/>
          <w:szCs w:val="16"/>
        </w:rPr>
        <w:t xml:space="preserve">3  </w:t>
      </w:r>
      <w:r>
        <w:rPr>
          <w:sz w:val="16"/>
          <w:szCs w:val="16"/>
        </w:rPr>
        <w:t xml:space="preserve">The book writes: “The discount is then amortized to interest revenue over the life of the note. Receivable: only time must pass before payment. Contract asset: the company must still perform.”</w:t>
      </w:r>
    </w:p>
    <w:p>
      <w:pPr>
        <w:spacing w:after="18"/>
        <w:ind w:left="300" w:hanging="300"/>
      </w:pPr>
      <w:r>
        <w:rPr>
          <w:b/>
          <w:bCs/>
          <w:color w:val="8186EF"/>
          <w:sz w:val="16"/>
          <w:szCs w:val="16"/>
        </w:rPr>
        <w:t xml:space="preserve">4  </w:t>
      </w:r>
      <w:r>
        <w:rPr>
          <w:sz w:val="16"/>
          <w:szCs w:val="16"/>
        </w:rPr>
        <w:t xml:space="preserve">The book pairs T1 with “Sale”.</w:t>
      </w:r>
    </w:p>
    <w:p>
      <w:pPr>
        <w:spacing w:after="18"/>
        <w:ind w:left="300" w:hanging="300"/>
      </w:pPr>
      <w:r>
        <w:rPr>
          <w:b/>
          <w:bCs/>
          <w:color w:val="8186EF"/>
          <w:sz w:val="16"/>
          <w:szCs w:val="16"/>
        </w:rPr>
        <w:t xml:space="preserve">5  </w:t>
      </w:r>
      <w:r>
        <w:rPr>
          <w:sz w:val="16"/>
          <w:szCs w:val="16"/>
        </w:rPr>
        <w:t xml:space="preserve">The book’s own table pairs T1 with “Sale”.</w:t>
      </w:r>
    </w:p>
    <w:p>
      <w:pPr>
        <w:spacing w:after="18"/>
        <w:ind w:left="300" w:hanging="300"/>
      </w:pPr>
      <w:r>
        <w:rPr>
          <w:b/>
          <w:bCs/>
          <w:color w:val="8186EF"/>
          <w:sz w:val="16"/>
          <w:szCs w:val="16"/>
        </w:rPr>
        <w:t xml:space="preserve">6  </w:t>
      </w:r>
      <w:r>
        <w:rPr>
          <w:sz w:val="16"/>
          <w:szCs w:val="16"/>
        </w:rPr>
        <w:t xml:space="preserve">The book’s own table pairs T2 with “Sale”.</w:t>
      </w:r>
    </w:p>
    <w:p>
      <w:pPr>
        <w:spacing w:after="18"/>
        <w:ind w:left="300" w:hanging="300"/>
      </w:pPr>
      <w:r>
        <w:rPr>
          <w:b/>
          <w:bCs/>
          <w:color w:val="8186EF"/>
          <w:sz w:val="16"/>
          <w:szCs w:val="16"/>
        </w:rPr>
        <w:t xml:space="preserve">7  </w:t>
      </w:r>
      <w:r>
        <w:rPr>
          <w:sz w:val="16"/>
          <w:szCs w:val="16"/>
        </w:rPr>
        <w:t xml:space="preserve">The book’s own table pairs T3 with “Secured borrowing”.</w:t>
      </w:r>
    </w:p>
    <w:p>
      <w:pPr>
        <w:spacing w:after="18"/>
        <w:ind w:left="300" w:hanging="300"/>
      </w:pPr>
      <w:r>
        <w:rPr>
          <w:b/>
          <w:bCs/>
          <w:color w:val="8186EF"/>
          <w:sz w:val="16"/>
          <w:szCs w:val="16"/>
        </w:rPr>
        <w:t xml:space="preserve">8  </w:t>
      </w:r>
      <w:r>
        <w:rPr>
          <w:sz w:val="16"/>
          <w:szCs w:val="16"/>
        </w:rPr>
        <w:t xml:space="preserve">The book’s own table pairs T4 with “Secured borrowing”.</w:t>
      </w:r>
    </w:p>
    <w:p>
      <w:pPr>
        <w:spacing w:after="18"/>
        <w:ind w:left="300" w:hanging="300"/>
      </w:pPr>
      <w:r>
        <w:rPr>
          <w:b/>
          <w:bCs/>
          <w:color w:val="8186EF"/>
          <w:sz w:val="16"/>
          <w:szCs w:val="16"/>
        </w:rPr>
        <w:t xml:space="preserve">9  </w:t>
      </w:r>
      <w:r>
        <w:rPr>
          <w:sz w:val="16"/>
          <w:szCs w:val="16"/>
        </w:rPr>
        <w:t xml:space="preserve">The book pairs T1 with “Sale”.</w:t>
      </w:r>
    </w:p>
    <w:p>
      <w:pPr>
        <w:spacing w:after="18"/>
        <w:ind w:left="300" w:hanging="300"/>
      </w:pPr>
      <w:r>
        <w:rPr>
          <w:b/>
          <w:bCs/>
          <w:color w:val="8186EF"/>
          <w:sz w:val="16"/>
          <w:szCs w:val="16"/>
        </w:rPr>
        <w:t xml:space="preserve">10  </w:t>
      </w:r>
      <w:r>
        <w:rPr>
          <w:sz w:val="16"/>
          <w:szCs w:val="16"/>
        </w:rPr>
        <w:t xml:space="preserve">The book pairs T2 with “Sale”, not with “Secured borrowing”.</w:t>
      </w:r>
    </w:p>
    <w:p>
      <w:pPr>
        <w:spacing w:after="18"/>
        <w:ind w:left="300" w:hanging="300"/>
      </w:pPr>
      <w:r>
        <w:rPr>
          <w:b/>
          <w:bCs/>
          <w:color w:val="8186EF"/>
          <w:sz w:val="16"/>
          <w:szCs w:val="16"/>
        </w:rPr>
        <w:t xml:space="preserve">13  </w:t>
      </w:r>
      <w:r>
        <w:rPr>
          <w:sz w:val="16"/>
          <w:szCs w:val="16"/>
        </w:rPr>
        <w:t xml:space="preserve">CECL records lifetime expected losses from day one. A is wrong: The probable threshold belonged to the old incurred-loss model. B is wrong: CECL does not wait for evidence of a loss.</w:t>
      </w:r>
    </w:p>
    <w:p>
      <w:pPr>
        <w:spacing w:after="18"/>
        <w:ind w:left="300" w:hanging="300"/>
      </w:pPr>
      <w:r>
        <w:rPr>
          <w:b/>
          <w:bCs/>
          <w:color w:val="8186EF"/>
          <w:sz w:val="16"/>
          <w:szCs w:val="16"/>
        </w:rPr>
        <w:t xml:space="preserve">14  </w:t>
      </w:r>
      <w:r>
        <w:rPr>
          <w:sz w:val="16"/>
          <w:szCs w:val="16"/>
        </w:rPr>
        <w:t xml:space="preserve">The company first reinstates the receivable; the second entry records the cash collection. B is wrong: A recovery is not revenue. C is wrong: The recovery goes back to the allowance, not the expense account.</w:t>
      </w:r>
    </w:p>
    <w:p>
      <w:pPr>
        <w:spacing w:after="18"/>
        <w:ind w:left="300" w:hanging="300"/>
      </w:pPr>
      <w:r>
        <w:rPr>
          <w:b/>
          <w:bCs/>
          <w:color w:val="8186EF"/>
          <w:sz w:val="16"/>
          <w:szCs w:val="16"/>
        </w:rPr>
        <w:t xml:space="preserve">15  </w:t>
      </w:r>
      <w:r>
        <w:rPr>
          <w:sz w:val="16"/>
          <w:szCs w:val="16"/>
        </w:rPr>
        <w:t xml:space="preserve">Losses are recorded only when balances are written off, so receivables are overstated and matching fails. A is wrong: The direct method is the method used for U.S. tax. B is wrong: It records losses late, not early.</w:t>
      </w:r>
    </w:p>
    <w:p>
      <w:pPr>
        <w:spacing w:after="18"/>
        <w:ind w:left="300" w:hanging="300"/>
      </w:pPr>
      <w:r>
        <w:rPr>
          <w:b/>
          <w:bCs/>
          <w:color w:val="8186EF"/>
          <w:sz w:val="16"/>
          <w:szCs w:val="16"/>
        </w:rPr>
        <w:t xml:space="preserve">16  </w:t>
      </w:r>
      <w:r>
        <w:rPr>
          <w:sz w:val="16"/>
          <w:szCs w:val="16"/>
        </w:rPr>
        <w:t xml:space="preserve">The sum of each group's amount × its expected loss rate. A is wrong: This is the unadjusted balance before the year-end entry. B is wrong: This is the credit loss expense, not the required balance.</w:t>
      </w:r>
    </w:p>
    <w:p>
      <w:pPr>
        <w:spacing w:after="18"/>
        <w:ind w:left="300" w:hanging="300"/>
      </w:pPr>
      <w:r>
        <w:rPr>
          <w:b/>
          <w:bCs/>
          <w:color w:val="8186EF"/>
          <w:sz w:val="16"/>
          <w:szCs w:val="16"/>
        </w:rPr>
        <w:t xml:space="preserve">17  </w:t>
      </w:r>
      <w:r>
        <w:rPr>
          <w:sz w:val="16"/>
          <w:szCs w:val="16"/>
        </w:rPr>
        <w:t xml:space="preserve">CECL records lifetime expected losses from day one. A is wrong: The probable threshold belonged to the old incurred-loss model. B is wrong: CECL does not wait for evidence of a loss.</w:t>
      </w:r>
    </w:p>
    <w:p>
      <w:pPr>
        <w:spacing w:after="18"/>
        <w:ind w:left="300" w:hanging="300"/>
      </w:pPr>
      <w:r>
        <w:rPr>
          <w:b/>
          <w:bCs/>
          <w:color w:val="8186EF"/>
          <w:sz w:val="16"/>
          <w:szCs w:val="16"/>
        </w:rPr>
        <w:t xml:space="preserve">18  </w:t>
      </w:r>
      <w:r>
        <w:rPr>
          <w:sz w:val="16"/>
          <w:szCs w:val="16"/>
        </w:rPr>
        <w:t xml:space="preserve">CMA questions use exact terms, and one word can change the answer.</w:t>
      </w:r>
    </w:p>
    <w:p>
      <w:pPr>
        <w:spacing w:after="18"/>
        <w:ind w:left="300" w:hanging="300"/>
      </w:pPr>
      <w:r>
        <w:rPr>
          <w:b/>
          <w:bCs/>
          <w:color w:val="8186EF"/>
          <w:sz w:val="16"/>
          <w:szCs w:val="16"/>
        </w:rPr>
        <w:t xml:space="preserve">25  </w:t>
      </w:r>
      <w:r>
        <w:rPr>
          <w:sz w:val="16"/>
          <w:szCs w:val="16"/>
        </w:rPr>
        <w:t xml:space="preserve">The book’s own table gives 80,000 × 8% = 6,400 as the answer of 1–60 days past due.</w:t>
      </w:r>
    </w:p>
    <w:p>
      <w:pPr>
        <w:spacing w:after="18"/>
        <w:ind w:left="300" w:hanging="300"/>
      </w:pPr>
      <w:r>
        <w:rPr>
          <w:b/>
          <w:bCs/>
          <w:color w:val="8186EF"/>
          <w:sz w:val="16"/>
          <w:szCs w:val="16"/>
        </w:rPr>
        <w:t xml:space="preserve">26  </w:t>
      </w:r>
      <w:r>
        <w:rPr>
          <w:sz w:val="16"/>
          <w:szCs w:val="16"/>
        </w:rPr>
        <w:t xml:space="preserve">The book’s own table gives 40,000 × 25% = 10,000 as the answer of Over 60 days past due.</w:t>
      </w:r>
    </w:p>
    <w:p>
      <w:pPr>
        <w:spacing w:after="18"/>
        <w:ind w:left="300" w:hanging="300"/>
      </w:pPr>
      <w:r>
        <w:rPr>
          <w:b/>
          <w:bCs/>
          <w:color w:val="8186EF"/>
          <w:sz w:val="16"/>
          <w:szCs w:val="16"/>
        </w:rPr>
        <w:t xml:space="preserve">27  </w:t>
      </w:r>
      <w:r>
        <w:rPr>
          <w:sz w:val="16"/>
          <w:szCs w:val="16"/>
        </w:rPr>
        <w:t xml:space="preserve">The book’s own table gives 3,600 + 6,400 + 10,000 = 20,000 as the answer of Required allowance.</w:t>
      </w:r>
    </w:p>
    <w:p>
      <w:pPr>
        <w:spacing w:after="18"/>
        <w:ind w:left="300" w:hanging="300"/>
      </w:pPr>
      <w:r>
        <w:rPr>
          <w:b/>
          <w:bCs/>
          <w:color w:val="8186EF"/>
          <w:sz w:val="16"/>
          <w:szCs w:val="16"/>
        </w:rPr>
        <w:t xml:space="preserve">28  </w:t>
      </w:r>
      <w:r>
        <w:rPr>
          <w:sz w:val="16"/>
          <w:szCs w:val="16"/>
        </w:rPr>
        <w:t xml:space="preserve">It is an income-statement approach; CECL focuses on the expected losses on the receivables at the balance sheet date. A is wrong: CECL does not require any single method; aging and loss-rate methods fit it better. B is wrong: The aging method gives the required ending balance.</w:t>
      </w:r>
    </w:p>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6.2 · The allowance for credit losses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Allowance for credit losses · write-off · accounts receivable</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Over 90 days past due: 20,000 · 60% · 12,000</w:t>
            </w:r>
          </w:p>
        </w:tc>
        <w:tc>
          <w:tcPr>
            <w:tcW w:type="pct" w:w="1667"/>
            <w:tcMar>
              <w:top w:type="dxa" w:w="40"/>
              <w:left w:type="dxa" w:w="100"/>
              <w:bottom w:type="dxa" w:w="40"/>
              <w:right w:type="dxa" w:w="100"/>
            </w:tcMar>
          </w:tcPr>
          <w:p>
            <w:pPr>
              <w:spacing w:before="22" w:after="22"/>
            </w:pPr>
            <w:r>
              <w:rPr>
                <w:b/>
                <w:bCs/>
                <w:color w:val="8186EF"/>
                <w:sz w:val="16"/>
                <w:szCs w:val="16"/>
              </w:rPr>
              <w:t xml:space="preserve">27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write-off · recovery · accounts receivable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Total: 660,000 ·  · 34,000</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28  </w:t>
            </w:r>
            <w:r>
              <w:rPr>
                <w:sz w:val="17"/>
                <w:szCs w:val="17"/>
              </w:rPr>
              <w:t xml:space="preserve">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allowance for credit losses · write-off</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write-off · accounts receivable</w:t>
            </w:r>
          </w:p>
        </w:tc>
        <w:tc>
          <w:tcPr>
            <w:tcW w:type="pct" w:w="1667"/>
            <w:tcMar>
              <w:top w:type="dxa" w:w="40"/>
              <w:left w:type="dxa" w:w="100"/>
              <w:bottom w:type="dxa" w:w="40"/>
              <w:right w:type="dxa" w:w="100"/>
            </w:tcMar>
          </w:tcPr>
          <w:p>
            <w:pPr>
              <w:spacing w:before="22" w:after="22"/>
            </w:pPr>
            <w:r>
              <w:rPr>
                <w:b/>
                <w:bCs/>
                <w:color w:val="8186EF"/>
                <w:sz w:val="16"/>
                <w:szCs w:val="16"/>
              </w:rPr>
              <w:t xml:space="preserve">29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31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A</w:t>
            </w:r>
          </w:p>
        </w:tc>
        <w:tc>
          <w:tcPr>
            <w:tcW w:type="pct" w:w="1667"/>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33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34  </w:t>
            </w:r>
            <w:r>
              <w:rPr>
                <w:sz w:val="17"/>
                <w:szCs w:val="17"/>
              </w:rPr>
              <w:t xml:space="preserve">D</w:t>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35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36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1–30 days past due: 150,000 · 3% · 4,500</w:t>
            </w:r>
          </w:p>
        </w:tc>
        <w:tc>
          <w:tcPr>
            <w:tcW w:type="pct" w:w="1667"/>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37  </w:t>
            </w:r>
            <w:r>
              <w:rPr>
                <w:sz w:val="17"/>
                <w:szCs w:val="17"/>
              </w:rPr>
              <w:t xml:space="preserve">Under current expected credit losses (CECL), a company presents its receivables net of an allowance that covers all the credit losses it expects over their life. It records these expected losses from the first day. It does not wait until a loss becomes probable. The estimate uses past experience, current conditions and reasonable and supportable forecasts.</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31–60 days past due: 60,000 · 10% · 6,000</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C</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61–90 days past due: 30,000 · 25% · 7,500</w:t>
            </w:r>
          </w:p>
        </w:tc>
        <w:tc>
          <w:tcPr>
            <w:tcW w:type="pct" w:w="1667"/>
            <w:tcMar>
              <w:top w:type="dxa" w:w="40"/>
              <w:left w:type="dxa" w:w="100"/>
              <w:bottom w:type="dxa" w:w="40"/>
              <w:right w:type="dxa" w:w="100"/>
            </w:tcMar>
          </w:tcPr>
          <w:p>
            <w:pPr>
              <w:spacing w:before="22" w:after="22"/>
            </w:pPr>
            <w:r>
              <w:rPr>
                <w:b/>
                <w:bCs/>
                <w:color w:val="8186EF"/>
                <w:sz w:val="16"/>
                <w:szCs w:val="16"/>
              </w:rPr>
              <w:t xml:space="preserve">26  </w:t>
            </w:r>
            <w:r>
              <w:rPr>
                <w:sz w:val="17"/>
                <w:szCs w:val="17"/>
              </w:rPr>
              <w:t xml:space="preserve">B</w:t>
            </w:r>
          </w:p>
        </w:tc>
        <w:tc>
          <w:tcPr>
            <w:tcW w:type="pct" w:w="1667"/>
            <w:tcMar>
              <w:top w:type="dxa" w:w="40"/>
              <w:left w:type="dxa" w:w="100"/>
              <w:bottom w:type="dxa" w:w="40"/>
              <w:right w:type="dxa" w:w="100"/>
            </w:tcMar>
          </w:tcPr>
          <w:p>
            <w:pPr>
              <w:spacing w:before="24" w:after="24"/>
            </w:pPr>
            <w:r>
              <w:rPr>
                <w:sz w:val="16"/>
                <w:szCs w:val="16"/>
              </w:rPr>
              <w:t xml:space="preserve"/>
            </w:r>
          </w:p>
        </w:tc>
      </w:tr>
    </w:tbl>
    <w:p/>
    <w:tbl>
      <w:tblPr>
        <w:tblW w:type="pct" w:w="100%"/>
        <w:tblLayout w:type="fixed"/>
        <w:tblBorders>
          <w:top w:val="single" w:color="1F7A6A" w:sz="8"/>
          <w:left w:val="single" w:color="1F7A6A" w:sz="8"/>
          <w:bottom w:val="single" w:color="1F7A6A" w:sz="8"/>
          <w:right w:val="single" w:color="1F7A6A" w:sz="8"/>
          <w:insideH w:val="single" w:color="1F7A6A" w:sz="8"/>
          <w:insideV w:val="single" w:color="1F7A6A" w:sz="8"/>
        </w:tblBorders>
      </w:tblPr>
      <w:tblGrid>
        <w:gridCol w:w="9600"/>
      </w:tblGrid>
      <w:tr>
        <w:tc>
          <w:tcPr>
            <w:tcW w:type="pct" w:w="5000"/>
            <w:shd w:fill="EEF6F4" w:val="clear"/>
            <w:tcMar>
              <w:top w:type="dxa" w:w="70"/>
              <w:left w:type="dxa" w:w="130"/>
              <w:bottom w:type="dxa" w:w="70"/>
              <w:right w:type="dxa" w:w="130"/>
            </w:tcMar>
          </w:tcPr>
          <w:p>
            <w:pPr>
              <w:spacing w:before="34" w:after="18"/>
            </w:pPr>
            <w:r>
              <w:rPr>
                <w:b/>
                <w:bCs/>
                <w:color w:val="1F7A6A"/>
                <w:sz w:val="17"/>
                <w:szCs w:val="17"/>
              </w:rPr>
              <w:t xml:space="preserve">16  </w:t>
            </w:r>
            <w:r>
              <w:rPr>
                <w:b/>
                <w:bCs/>
                <w:color w:val="1F7A6A"/>
                <w:sz w:val="16"/>
                <w:szCs w:val="16"/>
              </w:rPr>
              <w:t xml:space="preserve">what the book says</w:t>
            </w:r>
          </w:p>
          <w:p>
            <w:pPr>
              <w:spacing w:after="34"/>
              <w:ind w:left="300"/>
            </w:pPr>
            <w:r>
              <w:rPr>
                <w:sz w:val="17"/>
                <w:szCs w:val="17"/>
              </w:rPr>
              <w:t xml:space="preserve">When a customer's balance is clearly uncollectible, the company records a write-off: debit the allowance and credit accounts receivable.</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“Allowance for credit losses T-account: the expense is the plug that reaches the required balance. When a customer's balance is clearly uncollectible, the company records a write-off: debit the allowance and credit accounts receivable.”</w:t>
      </w:r>
    </w:p>
    <w:p>
      <w:pPr>
        <w:spacing w:after="18"/>
        <w:ind w:left="300" w:hanging="300"/>
      </w:pPr>
      <w:r>
        <w:rPr>
          <w:b/>
          <w:bCs/>
          <w:color w:val="8186EF"/>
          <w:sz w:val="16"/>
          <w:szCs w:val="16"/>
        </w:rPr>
        <w:t xml:space="preserve">2  </w:t>
      </w:r>
      <w:r>
        <w:rPr>
          <w:sz w:val="16"/>
          <w:szCs w:val="16"/>
        </w:rPr>
        <w:t xml:space="preserve">The book writes: “The write-off changes neither net income nor net receivables, because the expense was already recorded when the allowance was built. If the customer later pays, the company records a recovery: it first reinstates the receivable (debit accounts receivable, credit allowance) and then records the cash collection.”</w:t>
      </w:r>
    </w:p>
    <w:p>
      <w:pPr>
        <w:spacing w:after="18"/>
        <w:ind w:left="300" w:hanging="300"/>
      </w:pPr>
      <w:r>
        <w:rPr>
          <w:b/>
          <w:bCs/>
          <w:color w:val="8186EF"/>
          <w:sz w:val="16"/>
          <w:szCs w:val="16"/>
        </w:rPr>
        <w:t xml:space="preserve">3  </w:t>
      </w:r>
      <w:r>
        <w:rPr>
          <w:sz w:val="16"/>
          <w:szCs w:val="16"/>
        </w:rPr>
        <w:t xml:space="preserve">The book writes: “GAAP answer, always write allowance for credit losses, never provision for doubtful debts or reserve for bad debts. The aging gives the required ENDING allowance, not the expense. Expense = required balance − unadjusted credit balance, or required balance + unadjusted debit balance. A write-off does not change net income or net receivables.”</w:t>
      </w:r>
    </w:p>
    <w:p>
      <w:pPr>
        <w:spacing w:after="18"/>
        <w:ind w:left="300" w:hanging="300"/>
      </w:pPr>
      <w:r>
        <w:rPr>
          <w:b/>
          <w:bCs/>
          <w:color w:val="8186EF"/>
          <w:sz w:val="16"/>
          <w:szCs w:val="16"/>
        </w:rPr>
        <w:t xml:space="preserve">4  </w:t>
      </w:r>
      <w:r>
        <w:rPr>
          <w:sz w:val="16"/>
          <w:szCs w:val="16"/>
        </w:rPr>
        <w:t xml:space="preserve">The book pairs Current with “400,000”.</w:t>
      </w:r>
    </w:p>
    <w:p>
      <w:pPr>
        <w:spacing w:after="18"/>
        <w:ind w:left="300" w:hanging="300"/>
      </w:pPr>
      <w:r>
        <w:rPr>
          <w:b/>
          <w:bCs/>
          <w:color w:val="8186EF"/>
          <w:sz w:val="16"/>
          <w:szCs w:val="16"/>
        </w:rPr>
        <w:t xml:space="preserve">5  </w:t>
      </w:r>
      <w:r>
        <w:rPr>
          <w:sz w:val="16"/>
          <w:szCs w:val="16"/>
        </w:rPr>
        <w:t xml:space="preserve">The book’s own table gives 400,000 as the amount of Current.</w:t>
      </w:r>
    </w:p>
    <w:p>
      <w:pPr>
        <w:spacing w:after="18"/>
        <w:ind w:left="300" w:hanging="300"/>
      </w:pPr>
      <w:r>
        <w:rPr>
          <w:b/>
          <w:bCs/>
          <w:color w:val="8186EF"/>
          <w:sz w:val="16"/>
          <w:szCs w:val="16"/>
        </w:rPr>
        <w:t xml:space="preserve">6  </w:t>
      </w:r>
      <w:r>
        <w:rPr>
          <w:sz w:val="16"/>
          <w:szCs w:val="16"/>
        </w:rPr>
        <w:t xml:space="preserve">The book’s own table gives 150,000 as the amount of 1–30 days past due.</w:t>
      </w:r>
    </w:p>
    <w:p>
      <w:pPr>
        <w:spacing w:after="18"/>
        <w:ind w:left="300" w:hanging="300"/>
      </w:pPr>
      <w:r>
        <w:rPr>
          <w:b/>
          <w:bCs/>
          <w:color w:val="8186EF"/>
          <w:sz w:val="16"/>
          <w:szCs w:val="16"/>
        </w:rPr>
        <w:t xml:space="preserve">7  </w:t>
      </w:r>
      <w:r>
        <w:rPr>
          <w:sz w:val="16"/>
          <w:szCs w:val="16"/>
        </w:rPr>
        <w:t xml:space="preserve">The book’s own table gives 60,000 as the amount of 31–60 days past due.</w:t>
      </w:r>
    </w:p>
    <w:p>
      <w:pPr>
        <w:spacing w:after="18"/>
        <w:ind w:left="300" w:hanging="300"/>
      </w:pPr>
      <w:r>
        <w:rPr>
          <w:b/>
          <w:bCs/>
          <w:color w:val="8186EF"/>
          <w:sz w:val="16"/>
          <w:szCs w:val="16"/>
        </w:rPr>
        <w:t xml:space="preserve">8  </w:t>
      </w:r>
      <w:r>
        <w:rPr>
          <w:sz w:val="16"/>
          <w:szCs w:val="16"/>
        </w:rPr>
        <w:t xml:space="preserve">The book’s own table gives 30,000 as the amount of 61–90 days past due.</w:t>
      </w:r>
    </w:p>
    <w:p>
      <w:pPr>
        <w:spacing w:after="18"/>
        <w:ind w:left="300" w:hanging="300"/>
      </w:pPr>
      <w:r>
        <w:rPr>
          <w:b/>
          <w:bCs/>
          <w:color w:val="8186EF"/>
          <w:sz w:val="16"/>
          <w:szCs w:val="16"/>
        </w:rPr>
        <w:t xml:space="preserve">9  </w:t>
      </w:r>
      <w:r>
        <w:rPr>
          <w:sz w:val="16"/>
          <w:szCs w:val="16"/>
        </w:rPr>
        <w:t xml:space="preserve">The book pairs Current with “4,000”.</w:t>
      </w:r>
    </w:p>
    <w:p>
      <w:pPr>
        <w:spacing w:after="18"/>
        <w:ind w:left="300" w:hanging="300"/>
      </w:pPr>
      <w:r>
        <w:rPr>
          <w:b/>
          <w:bCs/>
          <w:color w:val="8186EF"/>
          <w:sz w:val="16"/>
          <w:szCs w:val="16"/>
        </w:rPr>
        <w:t xml:space="preserve">10  </w:t>
      </w:r>
      <w:r>
        <w:rPr>
          <w:sz w:val="16"/>
          <w:szCs w:val="16"/>
        </w:rPr>
        <w:t xml:space="preserve">The book pairs 1–30 days past due with “4,500”, not with “4,000”.</w:t>
      </w:r>
    </w:p>
    <w:p>
      <w:pPr>
        <w:spacing w:after="18"/>
        <w:ind w:left="300" w:hanging="300"/>
      </w:pPr>
      <w:r>
        <w:rPr>
          <w:b/>
          <w:bCs/>
          <w:color w:val="8186EF"/>
          <w:sz w:val="16"/>
          <w:szCs w:val="16"/>
        </w:rPr>
        <w:t xml:space="preserve">17  </w:t>
      </w:r>
      <w:r>
        <w:rPr>
          <w:sz w:val="16"/>
          <w:szCs w:val="16"/>
        </w:rPr>
        <w:t xml:space="preserve">The book gives 4,000 as the required allowance of Current.</w:t>
      </w:r>
    </w:p>
    <w:p>
      <w:pPr>
        <w:spacing w:after="18"/>
        <w:ind w:left="300" w:hanging="300"/>
      </w:pPr>
      <w:r>
        <w:rPr>
          <w:b/>
          <w:bCs/>
          <w:color w:val="8186EF"/>
          <w:sz w:val="16"/>
          <w:szCs w:val="16"/>
        </w:rPr>
        <w:t xml:space="preserve">18  </w:t>
      </w:r>
      <w:r>
        <w:rPr>
          <w:sz w:val="16"/>
          <w:szCs w:val="16"/>
        </w:rPr>
        <w:t xml:space="preserve">It is effective for annual periods beginning after December 15, 2025; under the one-year rule it is not yet tested. A is wrong: It is an optional simplification and is not yet testable. B is wrong: It is a U.S. GAAP update.</w:t>
      </w:r>
    </w:p>
    <w:p>
      <w:pPr>
        <w:spacing w:after="18"/>
        <w:ind w:left="300" w:hanging="300"/>
      </w:pPr>
      <w:r>
        <w:rPr>
          <w:b/>
          <w:bCs/>
          <w:color w:val="8186EF"/>
          <w:sz w:val="16"/>
          <w:szCs w:val="16"/>
        </w:rPr>
        <w:t xml:space="preserve">19  </w:t>
      </w:r>
      <w:r>
        <w:rPr>
          <w:sz w:val="16"/>
          <w:szCs w:val="16"/>
        </w:rPr>
        <w:t xml:space="preserve">All three sale conditions are met; recourse adds a liability to the sale. A is wrong: Recourse alone does not make the transfer a borrowing. B is wrong: The recourse obligation must be recorded.</w:t>
      </w:r>
    </w:p>
    <w:p>
      <w:pPr>
        <w:spacing w:after="18"/>
        <w:ind w:left="300" w:hanging="300"/>
      </w:pPr>
      <w:r>
        <w:rPr>
          <w:b/>
          <w:bCs/>
          <w:color w:val="8186EF"/>
          <w:sz w:val="16"/>
          <w:szCs w:val="16"/>
        </w:rPr>
        <w:t xml:space="preserve">20  </w:t>
      </w:r>
      <w:r>
        <w:rPr>
          <w:sz w:val="16"/>
          <w:szCs w:val="16"/>
        </w:rPr>
        <w:t xml:space="preserve">Carrying amount − (cash + due from factor − recourse liability). A is wrong: This is only the recourse liability. B is wrong: This leaves out the recourse liability.</w:t>
      </w:r>
    </w:p>
    <w:p>
      <w:pPr>
        <w:spacing w:after="18"/>
        <w:ind w:left="300" w:hanging="300"/>
      </w:pPr>
      <w:r>
        <w:rPr>
          <w:b/>
          <w:bCs/>
          <w:color w:val="8186EF"/>
          <w:sz w:val="16"/>
          <w:szCs w:val="16"/>
        </w:rPr>
        <w:t xml:space="preserve">21  </w:t>
      </w:r>
      <w:r>
        <w:rPr>
          <w:sz w:val="16"/>
          <w:szCs w:val="16"/>
        </w:rPr>
        <w:t xml:space="preserve">In a borrowing, the receivables stay (pledged) and the cash received is a liability. A is wrong: That describes a sale without recourse. B is wrong: That describes a sale with recourse.</w:t>
      </w:r>
    </w:p>
    <w:p>
      <w:pPr>
        <w:spacing w:after="18"/>
        <w:ind w:left="300" w:hanging="300"/>
      </w:pPr>
      <w:r>
        <w:rPr>
          <w:b/>
          <w:bCs/>
          <w:color w:val="8186EF"/>
          <w:sz w:val="16"/>
          <w:szCs w:val="16"/>
        </w:rPr>
        <w:t xml:space="preserve">22  </w:t>
      </w:r>
      <w:r>
        <w:rPr>
          <w:sz w:val="16"/>
          <w:szCs w:val="16"/>
        </w:rPr>
        <w:t xml:space="preserve">It is effective for annual periods beginning after December 15, 2025; under the one-year rule it is not yet tested. A is wrong: It is an optional simplification and is not yet testable. B is wrong: It is a U.S. GAAP update.</w:t>
      </w:r>
    </w:p>
    <w:p>
      <w:pPr>
        <w:spacing w:after="18"/>
        <w:ind w:left="300" w:hanging="300"/>
      </w:pPr>
      <w:r>
        <w:rPr>
          <w:b/>
          <w:bCs/>
          <w:color w:val="8186EF"/>
          <w:sz w:val="16"/>
          <w:szCs w:val="16"/>
        </w:rPr>
        <w:t xml:space="preserve">23  </w:t>
      </w:r>
      <w:r>
        <w:rPr>
          <w:sz w:val="16"/>
          <w:szCs w:val="16"/>
        </w:rPr>
        <w:t xml:space="preserve">CMA questions use exact terms, and one word can change the answer.</w:t>
      </w:r>
    </w:p>
    <w:p>
      <w:pPr>
        <w:spacing w:after="18"/>
        <w:ind w:left="300" w:hanging="300"/>
      </w:pPr>
      <w:r>
        <w:rPr>
          <w:b/>
          <w:bCs/>
          <w:color w:val="8186EF"/>
          <w:sz w:val="16"/>
          <w:szCs w:val="16"/>
        </w:rPr>
        <w:t xml:space="preserve">30  </w:t>
      </w:r>
      <w:r>
        <w:rPr>
          <w:sz w:val="16"/>
          <w:szCs w:val="16"/>
        </w:rPr>
        <w:t xml:space="preserve">The book’s own table gives 180,000 as the amount of Current.</w:t>
      </w:r>
    </w:p>
    <w:p>
      <w:pPr>
        <w:spacing w:after="18"/>
        <w:ind w:left="300" w:hanging="300"/>
      </w:pPr>
      <w:r>
        <w:rPr>
          <w:b/>
          <w:bCs/>
          <w:color w:val="8186EF"/>
          <w:sz w:val="16"/>
          <w:szCs w:val="16"/>
        </w:rPr>
        <w:t xml:space="preserve">31  </w:t>
      </w:r>
      <w:r>
        <w:rPr>
          <w:sz w:val="16"/>
          <w:szCs w:val="16"/>
        </w:rPr>
        <w:t xml:space="preserve">The book’s own table gives 80,000 as the amount of 1–60 days past due.</w:t>
      </w:r>
    </w:p>
    <w:p>
      <w:pPr>
        <w:spacing w:after="18"/>
        <w:ind w:left="300" w:hanging="300"/>
      </w:pPr>
      <w:r>
        <w:rPr>
          <w:b/>
          <w:bCs/>
          <w:color w:val="8186EF"/>
          <w:sz w:val="16"/>
          <w:szCs w:val="16"/>
        </w:rPr>
        <w:t xml:space="preserve">32  </w:t>
      </w:r>
      <w:r>
        <w:rPr>
          <w:sz w:val="16"/>
          <w:szCs w:val="16"/>
        </w:rPr>
        <w:t xml:space="preserve">The book’s own table gives 40,000 as the amount of Over 60 days past due.</w:t>
      </w:r>
    </w:p>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6.3 · Transferring receivables: sale or secured borrowing?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factor · effective control · secured borrowing</w:t>
            </w:r>
          </w:p>
        </w:tc>
        <w:tc>
          <w:tcPr>
            <w:tcW w:type="pct" w:w="1667"/>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factor · recourse liability · secured borrowing</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E</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Factoring · recourse</w:t>
            </w:r>
          </w:p>
        </w:tc>
        <w:tc>
          <w:tcPr>
            <w:tcW w:type="pct" w:w="1667"/>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Compare with the model earlier in this handout.</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F</w:t>
            </w:r>
          </w:p>
        </w:tc>
        <w:tc>
          <w:tcPr>
            <w:tcW w:type="pct" w:w="1667"/>
            <w:tcMar>
              <w:top w:type="dxa" w:w="40"/>
              <w:left w:type="dxa" w:w="100"/>
              <w:bottom w:type="dxa" w:w="40"/>
              <w:right w:type="dxa" w:w="100"/>
            </w:tcMar>
          </w:tcPr>
          <w:p>
            <w:pPr>
              <w:spacing w:before="22" w:after="22"/>
            </w:pPr>
            <w:r>
              <w:rPr>
                <w:b/>
                <w:bCs/>
                <w:color w:val="8186EF"/>
                <w:sz w:val="16"/>
                <w:szCs w:val="16"/>
              </w:rPr>
              <w:t xml:space="preserve">25  </w:t>
            </w:r>
            <w:r>
              <w:rPr>
                <w:sz w:val="17"/>
                <w:szCs w:val="17"/>
              </w:rPr>
              <w:t xml:space="preserve">A company that needs cash before its customers pay can use its receivables in two ways. It can use them as collateral for a loan (pledging), or it can transfer them to a finance company called a factor. This is factoring. The accounting question is simple: is the transfer a sale, or is it really a loan?</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A</w:t>
            </w:r>
          </w:p>
        </w:tc>
        <w:tc>
          <w:tcPr>
            <w:tcW w:type="pct" w:w="1667"/>
            <w:shd w:fill="FBFAF6" w:val="clear"/>
            <w:tcMar>
              <w:top w:type="dxa" w:w="40"/>
              <w:left w:type="dxa" w:w="100"/>
              <w:bottom w:type="dxa" w:w="40"/>
              <w:right w:type="dxa" w:w="100"/>
            </w:tcMar>
          </w:tcPr>
          <w:p>
            <w:pPr>
              <w:spacing w:before="24" w:after="24"/>
            </w:pPr>
            <w:r>
              <w:rPr>
                <w:sz w:val="16"/>
                <w:szCs w:val="16"/>
              </w:rPr>
              <w:t xml:space="preserve"/>
            </w:r>
          </w:p>
        </w:tc>
      </w:tr>
      <w:tr>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B</w:t>
            </w:r>
          </w:p>
        </w:tc>
        <w:tc>
          <w:tcPr>
            <w:tcW w:type="pct" w:w="1667"/>
            <w:tcMar>
              <w:top w:type="dxa" w:w="40"/>
              <w:left w:type="dxa" w:w="100"/>
              <w:bottom w:type="dxa" w:w="40"/>
              <w:right w:type="dxa" w:w="100"/>
            </w:tcMar>
          </w:tcPr>
          <w:p>
            <w:pPr>
              <w:spacing w:before="24" w:after="24"/>
            </w:pPr>
            <w:r>
              <w:rPr>
                <w:sz w:val="16"/>
                <w:szCs w:val="16"/>
              </w:rPr>
              <w:t xml:space="preserve"/>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“Second, the factor can pledge or exchange the receivables. Third, the seller does not keep effective control, for example through an agreement to buy the receivables back before they mature. If any condition fails, the transfer is a secured borrowing.”</w:t>
      </w:r>
    </w:p>
    <w:p>
      <w:pPr>
        <w:spacing w:after="18"/>
        <w:ind w:left="300" w:hanging="300"/>
      </w:pPr>
      <w:r>
        <w:rPr>
          <w:b/>
          <w:bCs/>
          <w:color w:val="8186EF"/>
          <w:sz w:val="16"/>
          <w:szCs w:val="16"/>
        </w:rPr>
        <w:t xml:space="preserve">2  </w:t>
      </w:r>
      <w:r>
        <w:rPr>
          <w:sz w:val="16"/>
          <w:szCs w:val="16"/>
        </w:rPr>
        <w:t xml:space="preserve">The book writes: “The receivables stay on the balance sheet, marked as pledged. Loss on a sale = carrying amount − (cash + due from factor − recourse liability). Effects of one transfer as a sale without recourse, a sale with recourse, or a secured borrowing.”</w:t>
      </w:r>
    </w:p>
    <w:p>
      <w:pPr>
        <w:spacing w:after="18"/>
        <w:ind w:left="300" w:hanging="300"/>
      </w:pPr>
      <w:r>
        <w:rPr>
          <w:b/>
          <w:bCs/>
          <w:color w:val="8186EF"/>
          <w:sz w:val="16"/>
          <w:szCs w:val="16"/>
        </w:rPr>
        <w:t xml:space="preserve">3  </w:t>
      </w:r>
      <w:r>
        <w:rPr>
          <w:sz w:val="16"/>
          <w:szCs w:val="16"/>
        </w:rPr>
        <w:t xml:space="preserve">The book writes: “Factoring with substantial recourse usually keeps most of the risk with the seller, so under IFRS it often fails derecognition and is treated as borrowing. Do not assume that every transfer with recourse is a borrowing. The holdback is an asset (due from factor), not part of the loss.”</w:t>
      </w:r>
    </w:p>
    <w:p>
      <w:pPr>
        <w:spacing w:after="18"/>
        <w:ind w:left="300" w:hanging="300"/>
      </w:pPr>
      <w:r>
        <w:rPr>
          <w:b/>
          <w:bCs/>
          <w:color w:val="8186EF"/>
          <w:sz w:val="16"/>
          <w:szCs w:val="16"/>
        </w:rPr>
        <w:t xml:space="preserve">4  </w:t>
      </w:r>
      <w:r>
        <w:rPr>
          <w:sz w:val="16"/>
          <w:szCs w:val="16"/>
        </w:rPr>
        <w:t xml:space="preserve">The book pairs Aging with “Current: 250,000 at an expected loss rate of 2%”.</w:t>
      </w:r>
    </w:p>
    <w:p>
      <w:pPr>
        <w:spacing w:after="18"/>
        <w:ind w:left="300" w:hanging="300"/>
      </w:pPr>
      <w:r>
        <w:rPr>
          <w:b/>
          <w:bCs/>
          <w:color w:val="8186EF"/>
          <w:sz w:val="16"/>
          <w:szCs w:val="16"/>
        </w:rPr>
        <w:t xml:space="preserve">5  </w:t>
      </w:r>
      <w:r>
        <w:rPr>
          <w:sz w:val="16"/>
          <w:szCs w:val="16"/>
        </w:rPr>
        <w:t xml:space="preserve">The book’s own table pairs Aging with “Current: 250,000 at an expected loss rate of 2%”.</w:t>
      </w:r>
    </w:p>
    <w:p>
      <w:pPr>
        <w:spacing w:after="18"/>
        <w:ind w:left="300" w:hanging="300"/>
      </w:pPr>
      <w:r>
        <w:rPr>
          <w:b/>
          <w:bCs/>
          <w:color w:val="8186EF"/>
          <w:sz w:val="16"/>
          <w:szCs w:val="16"/>
        </w:rPr>
        <w:t xml:space="preserve">6  </w:t>
      </w:r>
      <w:r>
        <w:rPr>
          <w:sz w:val="16"/>
          <w:szCs w:val="16"/>
        </w:rPr>
        <w:t xml:space="preserve">The book’s own table pairs Aging with “1–60 days past due: 90,000 at an expected loss rate of 10%”.</w:t>
      </w:r>
    </w:p>
    <w:p>
      <w:pPr>
        <w:spacing w:after="18"/>
        <w:ind w:left="300" w:hanging="300"/>
      </w:pPr>
      <w:r>
        <w:rPr>
          <w:b/>
          <w:bCs/>
          <w:color w:val="8186EF"/>
          <w:sz w:val="16"/>
          <w:szCs w:val="16"/>
        </w:rPr>
        <w:t xml:space="preserve">7  </w:t>
      </w:r>
      <w:r>
        <w:rPr>
          <w:sz w:val="16"/>
          <w:szCs w:val="16"/>
        </w:rPr>
        <w:t xml:space="preserve">The book’s own table pairs Aging with “Over 60 days past due: 40,000 at an expected loss rate of 40%”.</w:t>
      </w:r>
    </w:p>
    <w:p>
      <w:pPr>
        <w:spacing w:after="18"/>
        <w:ind w:left="300" w:hanging="300"/>
      </w:pPr>
      <w:r>
        <w:rPr>
          <w:b/>
          <w:bCs/>
          <w:color w:val="8186EF"/>
          <w:sz w:val="16"/>
          <w:szCs w:val="16"/>
        </w:rPr>
        <w:t xml:space="preserve">8  </w:t>
      </w:r>
      <w:r>
        <w:rPr>
          <w:sz w:val="16"/>
          <w:szCs w:val="16"/>
        </w:rPr>
        <w:t xml:space="preserve">The book’s own table pairs Allowance account with “Beginning balance 18,000 (credit). Write-offs during 2025: 24,000. Recoveries: 1,000.”.</w:t>
      </w:r>
    </w:p>
    <w:p>
      <w:pPr>
        <w:spacing w:after="18"/>
        <w:ind w:left="300" w:hanging="300"/>
      </w:pPr>
      <w:r>
        <w:rPr>
          <w:b/>
          <w:bCs/>
          <w:color w:val="8186EF"/>
          <w:sz w:val="16"/>
          <w:szCs w:val="16"/>
        </w:rPr>
        <w:t xml:space="preserve">9  </w:t>
      </w:r>
      <w:r>
        <w:rPr>
          <w:sz w:val="16"/>
          <w:szCs w:val="16"/>
        </w:rPr>
        <w:t xml:space="preserve">The book pairs Aging with “Current: 250,000 at an expected loss rate of 2%”.</w:t>
      </w:r>
    </w:p>
    <w:p>
      <w:pPr>
        <w:spacing w:after="18"/>
        <w:ind w:left="300" w:hanging="300"/>
      </w:pPr>
      <w:r>
        <w:rPr>
          <w:b/>
          <w:bCs/>
          <w:color w:val="8186EF"/>
          <w:sz w:val="16"/>
          <w:szCs w:val="16"/>
        </w:rPr>
        <w:t xml:space="preserve">10  </w:t>
      </w:r>
      <w:r>
        <w:rPr>
          <w:sz w:val="16"/>
          <w:szCs w:val="16"/>
        </w:rPr>
        <w:t xml:space="preserve">The book pairs Aging with “1–60 days past due: 90,000 at an expected loss rate of 10%”, not with “Beginning balance 18,000 (credit). Write-offs during 2025: 24,000. Recoveries: 1,000.”.</w:t>
      </w:r>
    </w:p>
    <w:p>
      <w:pPr>
        <w:spacing w:after="18"/>
        <w:ind w:left="300" w:hanging="300"/>
      </w:pPr>
      <w:r>
        <w:rPr>
          <w:b/>
          <w:bCs/>
          <w:color w:val="8186EF"/>
          <w:sz w:val="16"/>
          <w:szCs w:val="16"/>
        </w:rPr>
        <w:t xml:space="preserve">11  </w:t>
      </w:r>
      <w:r>
        <w:rPr>
          <w:sz w:val="16"/>
          <w:szCs w:val="16"/>
        </w:rPr>
        <w:t xml:space="preserve">IFRS 9 focuses on risks and rewards; substantial recourse often keeps the risk with the seller. A is wrong: Under U.S. GAAP the ASC 860 conditions decide, and they are met. C is wrong: A U.S. GAAP sale with recourse records a recourse liability.</w:t>
      </w:r>
    </w:p>
    <w:p>
      <w:pPr>
        <w:spacing w:after="18"/>
        <w:ind w:left="300" w:hanging="300"/>
      </w:pPr>
      <w:r>
        <w:rPr>
          <w:b/>
          <w:bCs/>
          <w:color w:val="8186EF"/>
          <w:sz w:val="16"/>
          <w:szCs w:val="16"/>
        </w:rPr>
        <w:t xml:space="preserve">12  </w:t>
      </w:r>
      <w:r>
        <w:rPr>
          <w:sz w:val="16"/>
          <w:szCs w:val="16"/>
        </w:rPr>
        <w:t xml:space="preserve">It reduces receivables to the amount expected to be collected. A is wrong: It is a contra-asset, not a liability. B is wrong: The expense is a separate account; the allowance is the balance sheet total.</w:t>
      </w:r>
    </w:p>
    <w:p>
      <w:pPr>
        <w:spacing w:after="18"/>
        <w:ind w:left="300" w:hanging="300"/>
      </w:pPr>
      <w:r>
        <w:rPr>
          <w:b/>
          <w:bCs/>
          <w:color w:val="8186EF"/>
          <w:sz w:val="16"/>
          <w:szCs w:val="16"/>
        </w:rPr>
        <w:t xml:space="preserve">13  </w:t>
      </w:r>
      <w:r>
        <w:rPr>
          <w:sz w:val="16"/>
          <w:szCs w:val="16"/>
        </w:rPr>
        <w:t xml:space="preserve">The expected loss is matched with the revenue of the same period. A is wrong: No cash moves when the expense is recorded. B is wrong: The direct method waits until a balance is written off.</w:t>
      </w:r>
    </w:p>
    <w:p>
      <w:pPr>
        <w:spacing w:after="18"/>
        <w:ind w:left="300" w:hanging="300"/>
      </w:pPr>
      <w:r>
        <w:rPr>
          <w:b/>
          <w:bCs/>
          <w:color w:val="8186EF"/>
          <w:sz w:val="16"/>
          <w:szCs w:val="16"/>
        </w:rPr>
        <w:t xml:space="preserve">14  </w:t>
      </w:r>
      <w:r>
        <w:rPr>
          <w:sz w:val="16"/>
          <w:szCs w:val="16"/>
        </w:rPr>
        <w:t xml:space="preserve">IFRS 9 focuses on risks and rewards; substantial recourse often keeps the risk with the seller. A is wrong: Under U.S. GAAP the ASC 860 conditions decide, and they are met. C is wrong: A U.S. GAAP sale with recourse records a recourse liability.</w:t>
      </w:r>
    </w:p>
    <w:p>
      <w:pPr>
        <w:spacing w:after="18"/>
        <w:ind w:left="300" w:hanging="300"/>
      </w:pPr>
      <w:r>
        <w:rPr>
          <w:b/>
          <w:bCs/>
          <w:color w:val="8186EF"/>
          <w:sz w:val="16"/>
          <w:szCs w:val="16"/>
        </w:rPr>
        <w:t xml:space="preserve">15  </w:t>
      </w:r>
      <w:r>
        <w:rPr>
          <w:sz w:val="16"/>
          <w:szCs w:val="16"/>
        </w:rPr>
        <w:t xml:space="preserve">CMA questions use exact terms, and one word can change the answer.</w:t>
      </w:r>
    </w:p>
    <w:p>
      <w:pPr>
        <w:spacing w:after="18"/>
        <w:ind w:left="300" w:hanging="300"/>
      </w:pPr>
      <w:r>
        <w:rPr>
          <w:b/>
          <w:bCs/>
          <w:color w:val="8186EF"/>
          <w:sz w:val="16"/>
          <w:szCs w:val="16"/>
        </w:rPr>
        <w:t xml:space="preserve">22  </w:t>
      </w:r>
      <w:r>
        <w:rPr>
          <w:sz w:val="16"/>
          <w:szCs w:val="16"/>
        </w:rPr>
        <w:t xml:space="preserve">The exam marks the term, so the English word is the answer.</w:t>
      </w:r>
    </w:p>
    <w:p>
      <w:pPr>
        <w:spacing w:after="18"/>
        <w:ind w:left="300" w:hanging="300"/>
      </w:pPr>
      <w:r>
        <w:rPr>
          <w:b/>
          <w:bCs/>
          <w:color w:val="8186EF"/>
          <w:sz w:val="16"/>
          <w:szCs w:val="16"/>
        </w:rPr>
        <w:t xml:space="preserve">23  </w:t>
      </w:r>
      <w:r>
        <w:rPr>
          <w:sz w:val="16"/>
          <w:szCs w:val="16"/>
        </w:rPr>
        <w:t xml:space="preserve">Every item on a Workshop sheet is settled by something printed on the same sheet.</w:t>
      </w:r>
    </w:p>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Handout 6.4 · The whole chapter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3200"/>
        <w:gridCol w:w="3200"/>
        <w:gridCol w:w="3200"/>
      </w:tblGrid>
      <w:tr>
        <w:tc>
          <w:tcPr>
            <w:tcW w:type="pct" w:w="1667"/>
            <w:tcMar>
              <w:top w:type="dxa" w:w="40"/>
              <w:left w:type="dxa" w:w="100"/>
              <w:bottom w:type="dxa" w:w="40"/>
              <w:right w:type="dxa" w:w="100"/>
            </w:tcMar>
          </w:tcPr>
          <w:p>
            <w:pPr>
              <w:spacing w:before="22" w:after="22"/>
            </w:pPr>
            <w:r>
              <w:rPr>
                <w:b/>
                <w:bCs/>
                <w:color w:val="8186EF"/>
                <w:sz w:val="16"/>
                <w:szCs w:val="16"/>
              </w:rPr>
              <w:t xml:space="preserve">1  </w:t>
            </w:r>
            <w:r>
              <w:rPr>
                <w:sz w:val="17"/>
                <w:szCs w:val="17"/>
              </w:rPr>
              <w:t xml:space="preserve">factor · recourse liability · secured borrowing</w:t>
            </w:r>
          </w:p>
        </w:tc>
        <w:tc>
          <w:tcPr>
            <w:tcW w:type="pct" w:w="1667"/>
            <w:tcMar>
              <w:top w:type="dxa" w:w="40"/>
              <w:left w:type="dxa" w:w="100"/>
              <w:bottom w:type="dxa" w:w="40"/>
              <w:right w:type="dxa" w:w="100"/>
            </w:tcMar>
          </w:tcPr>
          <w:p>
            <w:pPr>
              <w:spacing w:before="22" w:after="22"/>
            </w:pPr>
            <w:r>
              <w:rPr>
                <w:b/>
                <w:bCs/>
                <w:color w:val="8186EF"/>
                <w:sz w:val="16"/>
                <w:szCs w:val="16"/>
              </w:rPr>
              <w:t xml:space="preserve">9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17  </w:t>
            </w:r>
            <w:r>
              <w:rPr>
                <w:sz w:val="17"/>
                <w:szCs w:val="17"/>
              </w:rPr>
              <w:t xml:space="preserve">D</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  </w:t>
            </w:r>
            <w:r>
              <w:rPr>
                <w:sz w:val="17"/>
                <w:szCs w:val="17"/>
              </w:rPr>
              <w:t xml:space="preserve">Allowance for credit losses · write-off · accounts receivable</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10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18  </w:t>
            </w:r>
            <w:r>
              <w:rPr>
                <w:sz w:val="17"/>
                <w:szCs w:val="17"/>
              </w:rPr>
              <w:t xml:space="preserve">C</w:t>
            </w:r>
          </w:p>
        </w:tc>
      </w:tr>
      <w:tr>
        <w:tc>
          <w:tcPr>
            <w:tcW w:type="pct" w:w="1667"/>
            <w:tcMar>
              <w:top w:type="dxa" w:w="40"/>
              <w:left w:type="dxa" w:w="100"/>
              <w:bottom w:type="dxa" w:w="40"/>
              <w:right w:type="dxa" w:w="100"/>
            </w:tcMar>
          </w:tcPr>
          <w:p>
            <w:pPr>
              <w:spacing w:before="22" w:after="22"/>
            </w:pPr>
            <w:r>
              <w:rPr>
                <w:b/>
                <w:bCs/>
                <w:color w:val="8186EF"/>
                <w:sz w:val="16"/>
                <w:szCs w:val="16"/>
              </w:rPr>
              <w:t xml:space="preserve">3  </w:t>
            </w:r>
            <w:r>
              <w:rPr>
                <w:sz w:val="17"/>
                <w:szCs w:val="17"/>
              </w:rPr>
              <w:t xml:space="preserve">factor · recourse liability · secured borrowing</w:t>
            </w:r>
          </w:p>
        </w:tc>
        <w:tc>
          <w:tcPr>
            <w:tcW w:type="pct" w:w="1667"/>
            <w:tcMar>
              <w:top w:type="dxa" w:w="40"/>
              <w:left w:type="dxa" w:w="100"/>
              <w:bottom w:type="dxa" w:w="40"/>
              <w:right w:type="dxa" w:w="100"/>
            </w:tcMar>
          </w:tcPr>
          <w:p>
            <w:pPr>
              <w:spacing w:before="22" w:after="22"/>
            </w:pPr>
            <w:r>
              <w:rPr>
                <w:b/>
                <w:bCs/>
                <w:color w:val="8186EF"/>
                <w:sz w:val="16"/>
                <w:szCs w:val="16"/>
              </w:rPr>
              <w:t xml:space="preserve">11  </w:t>
            </w:r>
            <w:r>
              <w:rPr>
                <w:sz w:val="17"/>
                <w:szCs w:val="17"/>
              </w:rPr>
              <w:t xml:space="preserve">D</w:t>
            </w:r>
          </w:p>
        </w:tc>
        <w:tc>
          <w:tcPr>
            <w:tcW w:type="pct" w:w="1667"/>
            <w:tcMar>
              <w:top w:type="dxa" w:w="40"/>
              <w:left w:type="dxa" w:w="100"/>
              <w:bottom w:type="dxa" w:w="40"/>
              <w:right w:type="dxa" w:w="100"/>
            </w:tcMar>
          </w:tcPr>
          <w:p>
            <w:pPr>
              <w:spacing w:before="22" w:after="22"/>
            </w:pPr>
            <w:r>
              <w:rPr>
                <w:b/>
                <w:bCs/>
                <w:color w:val="8186EF"/>
                <w:sz w:val="16"/>
                <w:szCs w:val="16"/>
              </w:rPr>
              <w:t xml:space="preserve">19  </w:t>
            </w:r>
            <w:r>
              <w:rPr>
                <w:sz w:val="17"/>
                <w:szCs w:val="17"/>
              </w:rPr>
              <w:t xml:space="preserve">A</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4  </w:t>
            </w:r>
            <w:r>
              <w:rPr>
                <w:sz w:val="17"/>
                <w:szCs w:val="17"/>
              </w:rPr>
              <w:t xml:space="preserve">T</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12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20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5  </w:t>
            </w:r>
            <w:r>
              <w:rPr>
                <w:sz w:val="17"/>
                <w:szCs w:val="17"/>
              </w:rPr>
              <w:t xml:space="preserve">C</w:t>
            </w:r>
          </w:p>
        </w:tc>
        <w:tc>
          <w:tcPr>
            <w:tcW w:type="pct" w:w="1667"/>
            <w:tcMar>
              <w:top w:type="dxa" w:w="40"/>
              <w:left w:type="dxa" w:w="100"/>
              <w:bottom w:type="dxa" w:w="40"/>
              <w:right w:type="dxa" w:w="100"/>
            </w:tcMar>
          </w:tcPr>
          <w:p>
            <w:pPr>
              <w:spacing w:before="22" w:after="22"/>
            </w:pPr>
            <w:r>
              <w:rPr>
                <w:b/>
                <w:bCs/>
                <w:color w:val="8186EF"/>
                <w:sz w:val="16"/>
                <w:szCs w:val="16"/>
              </w:rPr>
              <w:t xml:space="preserve">13  </w:t>
            </w:r>
            <w:r>
              <w:rPr>
                <w:sz w:val="17"/>
                <w:szCs w:val="17"/>
              </w:rPr>
              <w:t xml:space="preserve">T</w:t>
            </w:r>
          </w:p>
        </w:tc>
        <w:tc>
          <w:tcPr>
            <w:tcW w:type="pct" w:w="1667"/>
            <w:tcMar>
              <w:top w:type="dxa" w:w="40"/>
              <w:left w:type="dxa" w:w="100"/>
              <w:bottom w:type="dxa" w:w="40"/>
              <w:right w:type="dxa" w:w="100"/>
            </w:tcMar>
          </w:tcPr>
          <w:p>
            <w:pPr>
              <w:spacing w:before="22" w:after="22"/>
            </w:pPr>
            <w:r>
              <w:rPr>
                <w:b/>
                <w:bCs/>
                <w:color w:val="8186EF"/>
                <w:sz w:val="16"/>
                <w:szCs w:val="16"/>
              </w:rPr>
              <w:t xml:space="preserve">21  </w:t>
            </w:r>
            <w:r>
              <w:rPr>
                <w:sz w:val="17"/>
                <w:szCs w:val="17"/>
              </w:rPr>
              <w:t xml:space="preserve">C</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6  </w:t>
            </w:r>
            <w:r>
              <w:rPr>
                <w:sz w:val="17"/>
                <w:szCs w:val="17"/>
              </w:rPr>
              <w:t xml:space="preserve">B</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14  </w:t>
            </w:r>
            <w:r>
              <w:rPr>
                <w:sz w:val="17"/>
                <w:szCs w:val="17"/>
              </w:rPr>
              <w:t xml:space="preserve">D</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22  </w:t>
            </w:r>
            <w:r>
              <w:rPr>
                <w:sz w:val="17"/>
                <w:szCs w:val="17"/>
              </w:rPr>
              <w:t xml:space="preserve">A</w:t>
            </w:r>
          </w:p>
        </w:tc>
      </w:tr>
      <w:tr>
        <w:tc>
          <w:tcPr>
            <w:tcW w:type="pct" w:w="1667"/>
            <w:tcMar>
              <w:top w:type="dxa" w:w="40"/>
              <w:left w:type="dxa" w:w="100"/>
              <w:bottom w:type="dxa" w:w="40"/>
              <w:right w:type="dxa" w:w="100"/>
            </w:tcMar>
          </w:tcPr>
          <w:p>
            <w:pPr>
              <w:spacing w:before="22" w:after="22"/>
            </w:pPr>
            <w:r>
              <w:rPr>
                <w:b/>
                <w:bCs/>
                <w:color w:val="8186EF"/>
                <w:sz w:val="16"/>
                <w:szCs w:val="16"/>
              </w:rPr>
              <w:t xml:space="preserve">7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15  </w:t>
            </w:r>
            <w:r>
              <w:rPr>
                <w:sz w:val="17"/>
                <w:szCs w:val="17"/>
              </w:rPr>
              <w:t xml:space="preserve">B</w:t>
            </w:r>
          </w:p>
        </w:tc>
        <w:tc>
          <w:tcPr>
            <w:tcW w:type="pct" w:w="1667"/>
            <w:tcMar>
              <w:top w:type="dxa" w:w="40"/>
              <w:left w:type="dxa" w:w="100"/>
              <w:bottom w:type="dxa" w:w="40"/>
              <w:right w:type="dxa" w:w="100"/>
            </w:tcMar>
          </w:tcPr>
          <w:p>
            <w:pPr>
              <w:spacing w:before="22" w:after="22"/>
            </w:pPr>
            <w:r>
              <w:rPr>
                <w:b/>
                <w:bCs/>
                <w:color w:val="8186EF"/>
                <w:sz w:val="16"/>
                <w:szCs w:val="16"/>
              </w:rPr>
              <w:t xml:space="preserve">23  </w:t>
            </w:r>
            <w:r>
              <w:rPr>
                <w:sz w:val="17"/>
                <w:szCs w:val="17"/>
              </w:rPr>
              <w:t xml:space="preserve">Compare with the model earlier in this handout.</w:t>
            </w:r>
          </w:p>
        </w:tc>
      </w:tr>
      <w:tr>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8  </w:t>
            </w:r>
            <w:r>
              <w:rPr>
                <w:sz w:val="17"/>
                <w:szCs w:val="17"/>
              </w:rPr>
              <w:t xml:space="preserve">A</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16  </w:t>
            </w:r>
            <w:r>
              <w:rPr>
                <w:sz w:val="17"/>
                <w:szCs w:val="17"/>
              </w:rPr>
              <w:t xml:space="preserve">C</w:t>
            </w:r>
          </w:p>
        </w:tc>
        <w:tc>
          <w:tcPr>
            <w:tcW w:type="pct" w:w="1667"/>
            <w:shd w:fill="FBFAF6" w:val="clear"/>
            <w:tcMar>
              <w:top w:type="dxa" w:w="40"/>
              <w:left w:type="dxa" w:w="100"/>
              <w:bottom w:type="dxa" w:w="40"/>
              <w:right w:type="dxa" w:w="100"/>
            </w:tcMar>
          </w:tcPr>
          <w:p>
            <w:pPr>
              <w:spacing w:before="22" w:after="22"/>
            </w:pPr>
            <w:r>
              <w:rPr>
                <w:b/>
                <w:bCs/>
                <w:color w:val="8186EF"/>
                <w:sz w:val="16"/>
                <w:szCs w:val="16"/>
              </w:rPr>
              <w:t xml:space="preserve">24  </w:t>
            </w:r>
            <w:r>
              <w:rPr>
                <w:sz w:val="17"/>
                <w:szCs w:val="17"/>
              </w:rPr>
              <w:t xml:space="preserve">6.1: Recognizing and measuring receivables. 6.2: The allowance for credit losses. 6.3: Transferring receivables: sale or secured borrowing?.</w:t>
            </w:r>
          </w:p>
        </w:tc>
      </w:tr>
    </w:tbl>
    <w:p/>
    <w:p>
      <w:pPr>
        <w:spacing w:before="60" w:after="20"/>
      </w:pPr>
      <w:r>
        <w:rPr>
          <w:b/>
          <w:bCs/>
          <w:color w:val="353A7C"/>
          <w:sz w:val="18"/>
          <w:szCs w:val="18"/>
        </w:rPr>
        <w:t xml:space="preserve">why</w:t>
      </w:r>
    </w:p>
    <w:p>
      <w:pPr>
        <w:spacing w:after="18"/>
        <w:ind w:left="300" w:hanging="300"/>
      </w:pPr>
      <w:r>
        <w:rPr>
          <w:b/>
          <w:bCs/>
          <w:color w:val="8186EF"/>
          <w:sz w:val="16"/>
          <w:szCs w:val="16"/>
        </w:rPr>
        <w:t xml:space="preserve">1  </w:t>
      </w:r>
      <w:r>
        <w:rPr>
          <w:sz w:val="16"/>
          <w:szCs w:val="16"/>
        </w:rPr>
        <w:t xml:space="preserve">The book writes: “The receivables stay on the balance sheet, marked as pledged. Loss on a sale = carrying amount − (cash + due from factor − recourse liability). Effects of one transfer as a sale without recourse, a sale with recourse, or a secured borrowing.”</w:t>
      </w:r>
    </w:p>
    <w:p>
      <w:pPr>
        <w:spacing w:after="18"/>
        <w:ind w:left="300" w:hanging="300"/>
      </w:pPr>
      <w:r>
        <w:rPr>
          <w:b/>
          <w:bCs/>
          <w:color w:val="8186EF"/>
          <w:sz w:val="16"/>
          <w:szCs w:val="16"/>
        </w:rPr>
        <w:t xml:space="preserve">2  </w:t>
      </w:r>
      <w:r>
        <w:rPr>
          <w:sz w:val="16"/>
          <w:szCs w:val="16"/>
        </w:rPr>
        <w:t xml:space="preserve">The book writes: “Allowance for credit losses T-account: the expense is the plug that reaches the required balance. When a customer's balance is clearly uncollectible, the company records a write-off: debit the allowance and credit accounts receivable.”</w:t>
      </w:r>
    </w:p>
    <w:p>
      <w:pPr>
        <w:spacing w:after="18"/>
        <w:ind w:left="300" w:hanging="300"/>
      </w:pPr>
      <w:r>
        <w:rPr>
          <w:b/>
          <w:bCs/>
          <w:color w:val="8186EF"/>
          <w:sz w:val="16"/>
          <w:szCs w:val="16"/>
        </w:rPr>
        <w:t xml:space="preserve">3  </w:t>
      </w:r>
      <w:r>
        <w:rPr>
          <w:sz w:val="16"/>
          <w:szCs w:val="16"/>
        </w:rPr>
        <w:t xml:space="preserve">The book writes: “Loss on a sale = carrying amount − (cash + due from factor − recourse liability). Effects of one transfer as a sale without recourse, a sale with recourse, or a secured borrowing. The balance sheet effect is the main reason companies care.”</w:t>
      </w:r>
    </w:p>
    <w:p>
      <w:pPr>
        <w:spacing w:after="18"/>
        <w:ind w:left="300" w:hanging="300"/>
      </w:pPr>
      <w:r>
        <w:rPr>
          <w:b/>
          <w:bCs/>
          <w:color w:val="8186EF"/>
          <w:sz w:val="16"/>
          <w:szCs w:val="16"/>
        </w:rPr>
        <w:t xml:space="preserve">4  </w:t>
      </w:r>
      <w:r>
        <w:rPr>
          <w:sz w:val="16"/>
          <w:szCs w:val="16"/>
        </w:rPr>
        <w:t xml:space="preserve">The map shows the order the decisions have to be taken in.</w:t>
      </w:r>
    </w:p>
    <w:p>
      <w:pPr>
        <w:spacing w:after="18"/>
        <w:ind w:left="300" w:hanging="300"/>
      </w:pPr>
      <w:r>
        <w:rPr>
          <w:b/>
          <w:bCs/>
          <w:color w:val="8186EF"/>
          <w:sz w:val="16"/>
          <w:szCs w:val="16"/>
        </w:rPr>
        <w:t xml:space="preserve">5  </w:t>
      </w:r>
      <w:r>
        <w:rPr>
          <w:sz w:val="16"/>
          <w:szCs w:val="16"/>
        </w:rPr>
        <w:t xml:space="preserve">The book numbers “Recognizing and measuring receivables” as section 6.1.</w:t>
      </w:r>
    </w:p>
    <w:p>
      <w:pPr>
        <w:spacing w:after="18"/>
        <w:ind w:left="300" w:hanging="300"/>
      </w:pPr>
      <w:r>
        <w:rPr>
          <w:b/>
          <w:bCs/>
          <w:color w:val="8186EF"/>
          <w:sz w:val="16"/>
          <w:szCs w:val="16"/>
        </w:rPr>
        <w:t xml:space="preserve">6  </w:t>
      </w:r>
      <w:r>
        <w:rPr>
          <w:sz w:val="16"/>
          <w:szCs w:val="16"/>
        </w:rPr>
        <w:t xml:space="preserve">The book numbers “The allowance for credit losses” as section 6.2.</w:t>
      </w:r>
    </w:p>
    <w:p>
      <w:pPr>
        <w:spacing w:after="18"/>
        <w:ind w:left="300" w:hanging="300"/>
      </w:pPr>
      <w:r>
        <w:rPr>
          <w:b/>
          <w:bCs/>
          <w:color w:val="8186EF"/>
          <w:sz w:val="16"/>
          <w:szCs w:val="16"/>
        </w:rPr>
        <w:t xml:space="preserve">7  </w:t>
      </w:r>
      <w:r>
        <w:rPr>
          <w:sz w:val="16"/>
          <w:szCs w:val="16"/>
        </w:rPr>
        <w:t xml:space="preserve">The book numbers “Transferring receivables: sale or secured borrowing?” as section 6.3.</w:t>
      </w:r>
    </w:p>
    <w:p>
      <w:pPr>
        <w:spacing w:after="18"/>
        <w:ind w:left="300" w:hanging="300"/>
      </w:pPr>
      <w:r>
        <w:rPr>
          <w:b/>
          <w:bCs/>
          <w:color w:val="8186EF"/>
          <w:sz w:val="16"/>
          <w:szCs w:val="16"/>
        </w:rPr>
        <w:t xml:space="preserve">11  </w:t>
      </w:r>
      <w:r>
        <w:rPr>
          <w:sz w:val="16"/>
          <w:szCs w:val="16"/>
        </w:rPr>
        <w:t xml:space="preserve">The repurchase duty means Orontes keeps effective control, so the sale conditions fail. A is wrong: Effective control prevents sale accounting whatever the recourse terms. B is wrong: The transfer fails the effective-control condition.</w:t>
      </w:r>
    </w:p>
    <w:p>
      <w:pPr>
        <w:spacing w:after="18"/>
        <w:ind w:left="300" w:hanging="300"/>
      </w:pPr>
      <w:r>
        <w:rPr>
          <w:b/>
          <w:bCs/>
          <w:color w:val="8186EF"/>
          <w:sz w:val="16"/>
          <w:szCs w:val="16"/>
        </w:rPr>
        <w:t xml:space="preserve">12  </w:t>
      </w:r>
      <w:r>
        <w:rPr>
          <w:sz w:val="16"/>
          <w:szCs w:val="16"/>
        </w:rPr>
        <w:t xml:space="preserve">Orontes has performed, but its right to payment still depends on the second shipment, not only on time. B is wrong: A receivable needs an unconditional right to payment. C is wrong: Orontes has transferred control of the first shipment, so it records something now.</w:t>
      </w:r>
    </w:p>
    <w:p>
      <w:pPr>
        <w:spacing w:after="18"/>
        <w:ind w:left="300" w:hanging="300"/>
      </w:pPr>
      <w:r>
        <w:rPr>
          <w:b/>
          <w:bCs/>
          <w:color w:val="8186EF"/>
          <w:sz w:val="16"/>
          <w:szCs w:val="16"/>
        </w:rPr>
        <w:t xml:space="preserve">13  </w:t>
      </w:r>
      <w:r>
        <w:rPr>
          <w:sz w:val="16"/>
          <w:szCs w:val="16"/>
        </w:rPr>
        <w:t xml:space="preserve">Every later answer depends on the adjusted exhibit.</w:t>
      </w:r>
    </w:p>
    <w:p>
      <w:pPr>
        <w:spacing w:after="18"/>
        <w:ind w:left="300" w:hanging="300"/>
      </w:pPr>
      <w:r>
        <w:rPr>
          <w:b/>
          <w:bCs/>
          <w:color w:val="8186EF"/>
          <w:sz w:val="16"/>
          <w:szCs w:val="16"/>
        </w:rPr>
        <w:t xml:space="preserve">14  </w:t>
      </w:r>
      <w:r>
        <w:rPr>
          <w:sz w:val="16"/>
          <w:szCs w:val="16"/>
        </w:rPr>
        <w:t xml:space="preserve">The book states item C6-1 in those words.</w:t>
      </w:r>
    </w:p>
    <w:p>
      <w:pPr>
        <w:spacing w:after="18"/>
        <w:ind w:left="300" w:hanging="300"/>
      </w:pPr>
      <w:r>
        <w:rPr>
          <w:b/>
          <w:bCs/>
          <w:color w:val="8186EF"/>
          <w:sz w:val="16"/>
          <w:szCs w:val="16"/>
        </w:rPr>
        <w:t xml:space="preserve">15  </w:t>
      </w:r>
      <w:r>
        <w:rPr>
          <w:sz w:val="16"/>
          <w:szCs w:val="16"/>
        </w:rPr>
        <w:t xml:space="preserve">The book states item C6-2 in those words.</w:t>
      </w:r>
    </w:p>
    <w:p>
      <w:pPr>
        <w:spacing w:after="18"/>
        <w:ind w:left="300" w:hanging="300"/>
      </w:pPr>
      <w:r>
        <w:rPr>
          <w:b/>
          <w:bCs/>
          <w:color w:val="8186EF"/>
          <w:sz w:val="16"/>
          <w:szCs w:val="16"/>
        </w:rPr>
        <w:t xml:space="preserve">16  </w:t>
      </w:r>
      <w:r>
        <w:rPr>
          <w:sz w:val="16"/>
          <w:szCs w:val="16"/>
        </w:rPr>
        <w:t xml:space="preserve">The book states item C6-3 in those words.</w:t>
      </w:r>
    </w:p>
    <w:p>
      <w:pPr>
        <w:spacing w:after="18"/>
        <w:ind w:left="300" w:hanging="300"/>
      </w:pPr>
      <w:r>
        <w:rPr>
          <w:b/>
          <w:bCs/>
          <w:color w:val="8186EF"/>
          <w:sz w:val="16"/>
          <w:szCs w:val="16"/>
        </w:rPr>
        <w:t xml:space="preserve">17  </w:t>
      </w:r>
      <w:r>
        <w:rPr>
          <w:sz w:val="16"/>
          <w:szCs w:val="16"/>
        </w:rPr>
        <w:t xml:space="preserve">The book states item C6-4 in those words.</w:t>
      </w:r>
    </w:p>
    <w:p>
      <w:pPr>
        <w:spacing w:after="18"/>
        <w:ind w:left="300" w:hanging="300"/>
      </w:pPr>
      <w:r>
        <w:rPr>
          <w:b/>
          <w:bCs/>
          <w:color w:val="8186EF"/>
          <w:sz w:val="16"/>
          <w:szCs w:val="16"/>
        </w:rPr>
        <w:t xml:space="preserve">18  </w:t>
      </w:r>
      <w:r>
        <w:rPr>
          <w:sz w:val="16"/>
          <w:szCs w:val="16"/>
        </w:rPr>
        <w:t xml:space="preserve">The book states item C6-5 in those words.</w:t>
      </w:r>
    </w:p>
    <w:p>
      <w:pPr>
        <w:spacing w:after="18"/>
        <w:ind w:left="300" w:hanging="300"/>
      </w:pPr>
      <w:r>
        <w:rPr>
          <w:b/>
          <w:bCs/>
          <w:color w:val="8186EF"/>
          <w:sz w:val="16"/>
          <w:szCs w:val="16"/>
        </w:rPr>
        <w:t xml:space="preserve">19  </w:t>
      </w:r>
      <w:r>
        <w:rPr>
          <w:sz w:val="16"/>
          <w:szCs w:val="16"/>
        </w:rPr>
        <w:t xml:space="preserve">The book states item C6-6 in those words.</w:t>
      </w:r>
    </w:p>
    <w:p>
      <w:pPr>
        <w:spacing w:after="18"/>
        <w:ind w:left="300" w:hanging="300"/>
      </w:pPr>
      <w:r>
        <w:rPr>
          <w:b/>
          <w:bCs/>
          <w:color w:val="8186EF"/>
          <w:sz w:val="16"/>
          <w:szCs w:val="16"/>
        </w:rPr>
        <w:t xml:space="preserve">20  </w:t>
      </w:r>
      <w:r>
        <w:rPr>
          <w:sz w:val="16"/>
          <w:szCs w:val="16"/>
        </w:rPr>
        <w:t xml:space="preserve">Orontes has performed, but its right to payment still depends on the second shipment, not only on time. B is wrong: A receivable needs an unconditional right to payment. C is wrong: Orontes has transferred control of the first shipment, so it records something now.</w:t>
      </w:r>
    </w:p>
    <w:p>
      <w:pPr>
        <w:spacing w:after="18"/>
        <w:ind w:left="300" w:hanging="300"/>
      </w:pPr>
      <w:r>
        <w:rPr>
          <w:b/>
          <w:bCs/>
          <w:color w:val="8186EF"/>
          <w:sz w:val="16"/>
          <w:szCs w:val="16"/>
        </w:rPr>
        <w:t xml:space="preserve">21  </w:t>
      </w:r>
      <w:r>
        <w:rPr>
          <w:sz w:val="16"/>
          <w:szCs w:val="16"/>
        </w:rPr>
        <w:t xml:space="preserve">Receivables are recorded at the transaction price; expected discounts and returns are variable consideration. Short-term receivables are not discounted. A is wrong: Receivables due within one year are not discounted. B is wrong: That is the older gross method; expected discounts are variable consideration today.</w:t>
      </w:r>
    </w:p>
    <w:p>
      <w:pPr>
        <w:spacing w:after="18"/>
        <w:ind w:left="300" w:hanging="300"/>
      </w:pPr>
      <w:r>
        <w:rPr>
          <w:b/>
          <w:bCs/>
          <w:color w:val="8186EF"/>
          <w:sz w:val="16"/>
          <w:szCs w:val="16"/>
        </w:rPr>
        <w:t xml:space="preserve">22  </w:t>
      </w:r>
      <w:r>
        <w:rPr>
          <w:sz w:val="16"/>
          <w:szCs w:val="16"/>
        </w:rPr>
        <w:t xml:space="preserve">Every later answer depends on the adjusted exhibit.</w:t>
      </w:r>
    </w:p>
    <w:p/>
    <w:p>
      <w:pPr>
        <w:sectPr>
          <w:headerReference w:type="default" r:id="rIdHdr4"/>
          <w:pgSz w:w="11906" w:h="16838" w:orient="portrait"/>
          <w:pgMar w:top="1180" w:right="1000" w:bottom="900" w:left="1000" w:header="708" w:footer="708" w:gutter="0"/>
          <w:docGrid w:linePitch="360"/>
          <w:pgNumType w:start="1"/>
        </w:sectPr>
      </w:pPr>
    </w:p>
    <w:sectPr>
      <w:headerReference w:type="default" r:id="rIdHdr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Handout 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6 — answer keys</dc:title>
  <dc:subject>Receivables: Credit Losses and Transfers</dc:subject>
  <cp:category>Student Book</cp:category>
</cp:coreProperties>
</file>