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7.1 · Which goods belong in inventory?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FOB destination · consignment · consignor · consignee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inventory · FOB shipping point · goods in transit · FOB destination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consignment · consignor · consignee · FOB shipping point</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Add to the count: M1 (FOB shipping point, bought), M2 (FOB destination, sold), M4 (at a Doha consignee)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Inventory means goods held for sale in the ordinary course of business, goods in production, and materials that will be used in production. A retailer such as Barada Wholesale, Inc. has one inventory account. A manufacturer such as Orontes has three: raw materials, work in process and finished goods.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Subtract from the count: M3 (held for a Beirut producer)</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E</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“Under FOB destination, the seller keeps control until the goods arrive, so the seller includes them. In a consignment, the consignor (the owner) gives goods to a consignee, who sells them for a commission. The goods stay in the consignor's inventory.”</w:t>
      </w:r>
    </w:p>
    <w:p>
      <w:pPr>
        <w:spacing w:after="18"/>
        <w:ind w:left="300" w:hanging="300"/>
      </w:pPr>
      <w:r>
        <w:rPr>
          <w:b/>
          <w:bCs/>
          <w:color w:val="8186EF"/>
          <w:sz w:val="16"/>
          <w:szCs w:val="16"/>
        </w:rPr>
        <w:t xml:space="preserve">2  </w:t>
      </w:r>
      <w:r>
        <w:rPr>
          <w:sz w:val="16"/>
          <w:szCs w:val="16"/>
        </w:rPr>
        <w:t xml:space="preserve">The book writes: “In a bill-and-hold sale, the seller keeps the goods in its inventory unless strict conditions show that the buyer already controls them. FOB shipping point: the BUYER includes goods in transit. FOB destination: the SELLER includes them.”</w:t>
      </w:r>
    </w:p>
    <w:p>
      <w:pPr>
        <w:spacing w:after="18"/>
        <w:ind w:left="300" w:hanging="300"/>
      </w:pPr>
      <w:r>
        <w:rPr>
          <w:b/>
          <w:bCs/>
          <w:color w:val="8186EF"/>
          <w:sz w:val="16"/>
          <w:szCs w:val="16"/>
        </w:rPr>
        <w:t xml:space="preserve">3  </w:t>
      </w:r>
      <w:r>
        <w:rPr>
          <w:sz w:val="16"/>
          <w:szCs w:val="16"/>
        </w:rPr>
        <w:t xml:space="preserve">The book writes: “Arabic: البضاعة بالأمانة is consignment; the owner is the consignor (المُرسِل) and the seller in the shop is the consignee (المُرسَل إليه). SC7-1 On December 28, a supplier in Türkiye ships glass bottles to Orontes, FOB shipping point.”</w:t>
      </w:r>
    </w:p>
    <w:p>
      <w:pPr>
        <w:spacing w:after="18"/>
        <w:ind w:left="300" w:hanging="300"/>
      </w:pPr>
      <w:r>
        <w:rPr>
          <w:b/>
          <w:bCs/>
          <w:color w:val="8186EF"/>
          <w:sz w:val="16"/>
          <w:szCs w:val="16"/>
        </w:rPr>
        <w:t xml:space="preserve">4  </w:t>
      </w:r>
      <w:r>
        <w:rPr>
          <w:sz w:val="16"/>
          <w:szCs w:val="16"/>
        </w:rPr>
        <w:t xml:space="preserve">The book pairs M1 (FOB shipping point, bought) with “Add to the count”.</w:t>
      </w:r>
    </w:p>
    <w:p>
      <w:pPr>
        <w:spacing w:after="18"/>
        <w:ind w:left="300" w:hanging="300"/>
      </w:pPr>
      <w:r>
        <w:rPr>
          <w:b/>
          <w:bCs/>
          <w:color w:val="8186EF"/>
          <w:sz w:val="16"/>
          <w:szCs w:val="16"/>
        </w:rPr>
        <w:t xml:space="preserve">5  </w:t>
      </w:r>
      <w:r>
        <w:rPr>
          <w:sz w:val="16"/>
          <w:szCs w:val="16"/>
        </w:rPr>
        <w:t xml:space="preserve">The book’s own table pairs M3 (held for a Beirut producer) with “Subtract from the count”.</w:t>
      </w:r>
    </w:p>
    <w:p>
      <w:pPr>
        <w:spacing w:after="18"/>
        <w:ind w:left="300" w:hanging="300"/>
      </w:pPr>
      <w:r>
        <w:rPr>
          <w:b/>
          <w:bCs/>
          <w:color w:val="8186EF"/>
          <w:sz w:val="16"/>
          <w:szCs w:val="16"/>
        </w:rPr>
        <w:t xml:space="preserve">6  </w:t>
      </w:r>
      <w:r>
        <w:rPr>
          <w:sz w:val="16"/>
          <w:szCs w:val="16"/>
        </w:rPr>
        <w:t xml:space="preserve">The book pairs M1 (FOB shipping point, bought) with “Add to the count”.</w:t>
      </w:r>
    </w:p>
    <w:p>
      <w:pPr>
        <w:spacing w:after="18"/>
        <w:ind w:left="300" w:hanging="300"/>
      </w:pPr>
      <w:r>
        <w:rPr>
          <w:b/>
          <w:bCs/>
          <w:color w:val="8186EF"/>
          <w:sz w:val="16"/>
          <w:szCs w:val="16"/>
        </w:rPr>
        <w:t xml:space="preserve">7  </w:t>
      </w:r>
      <w:r>
        <w:rPr>
          <w:sz w:val="16"/>
          <w:szCs w:val="16"/>
        </w:rPr>
        <w:t xml:space="preserve">The book pairs M2 (FOB destination, sold) with “Add to the count”, not with “Subtract from the count”.</w:t>
      </w:r>
    </w:p>
    <w:p>
      <w:pPr>
        <w:spacing w:after="18"/>
        <w:ind w:left="300" w:hanging="300"/>
      </w:pPr>
      <w:r>
        <w:rPr>
          <w:b/>
          <w:bCs/>
          <w:color w:val="8186EF"/>
          <w:sz w:val="16"/>
          <w:szCs w:val="16"/>
        </w:rPr>
        <w:t xml:space="preserve">10  </w:t>
      </w:r>
      <w:r>
        <w:rPr>
          <w:sz w:val="16"/>
          <w:szCs w:val="16"/>
        </w:rPr>
        <w:t xml:space="preserve">Under FOB destination, the seller keeps control until delivery. A is wrong: The buyer includes goods in transit only under FOB shipping point. C is wrong: Control has not passed, so no sale is recorded yet.</w:t>
      </w:r>
    </w:p>
    <w:p>
      <w:pPr>
        <w:spacing w:after="18"/>
        <w:ind w:left="300" w:hanging="300"/>
      </w:pPr>
      <w:r>
        <w:rPr>
          <w:b/>
          <w:bCs/>
          <w:color w:val="8186EF"/>
          <w:sz w:val="16"/>
          <w:szCs w:val="16"/>
        </w:rPr>
        <w:t xml:space="preserve">11  </w:t>
      </w:r>
      <w:r>
        <w:rPr>
          <w:sz w:val="16"/>
          <w:szCs w:val="16"/>
        </w:rPr>
        <w:t xml:space="preserve">Fixed overhead is allocated on normal capacity; the unallocated part is a period expense. B is wrong: This would give each unit an abnormally high cost. C is wrong: No future benefit exists, so it is not an asset.</w:t>
      </w:r>
    </w:p>
    <w:p>
      <w:pPr>
        <w:spacing w:after="18"/>
        <w:ind w:left="300" w:hanging="300"/>
      </w:pPr>
      <w:r>
        <w:rPr>
          <w:b/>
          <w:bCs/>
          <w:color w:val="8186EF"/>
          <w:sz w:val="16"/>
          <w:szCs w:val="16"/>
        </w:rPr>
        <w:t xml:space="preserve">12  </w:t>
      </w:r>
      <w:r>
        <w:rPr>
          <w:sz w:val="16"/>
          <w:szCs w:val="16"/>
        </w:rPr>
        <w:t xml:space="preserve">Advertising is a selling cost, expensed when incurred. A is wrong: Duties bring materials to their location, so they are inventory cost. B is wrong: Freight-in is inventory cost.</w:t>
      </w:r>
    </w:p>
    <w:p>
      <w:pPr>
        <w:spacing w:after="18"/>
        <w:ind w:left="300" w:hanging="300"/>
      </w:pPr>
      <w:r>
        <w:rPr>
          <w:b/>
          <w:bCs/>
          <w:color w:val="8186EF"/>
          <w:sz w:val="16"/>
          <w:szCs w:val="16"/>
        </w:rPr>
        <w:t xml:space="preserve">13  </w:t>
      </w:r>
      <w:r>
        <w:rPr>
          <w:sz w:val="16"/>
          <w:szCs w:val="16"/>
        </w:rPr>
        <w:t xml:space="preserve">FIFO always sells the oldest units first, whatever the timing of sales. A is wrong: Perpetual LIFO can only use costs that exist on each sale date. B is wrong: The moving average changes after each purchase, so results usually differ.</w:t>
      </w:r>
    </w:p>
    <w:p>
      <w:pPr>
        <w:spacing w:after="18"/>
        <w:ind w:left="300" w:hanging="300"/>
      </w:pPr>
      <w:r>
        <w:rPr>
          <w:b/>
          <w:bCs/>
          <w:color w:val="8186EF"/>
          <w:sz w:val="16"/>
          <w:szCs w:val="16"/>
        </w:rPr>
        <w:t xml:space="preserve">14  </w:t>
      </w:r>
      <w:r>
        <w:rPr>
          <w:sz w:val="16"/>
          <w:szCs w:val="16"/>
        </w:rPr>
        <w:t xml:space="preserve">Under FOB destination, the seller keeps control until delivery. A is wrong: The buyer includes goods in transit only under FOB shipping point. C is wrong: Control has not passed, so no sale is recorded yet.</w:t>
      </w:r>
    </w:p>
    <w:p>
      <w:pPr>
        <w:spacing w:after="18"/>
        <w:ind w:left="300" w:hanging="300"/>
      </w:pPr>
      <w:r>
        <w:rPr>
          <w:b/>
          <w:bCs/>
          <w:color w:val="8186EF"/>
          <w:sz w:val="16"/>
          <w:szCs w:val="16"/>
        </w:rPr>
        <w:t xml:space="preserve">15  </w:t>
      </w:r>
      <w:r>
        <w:rPr>
          <w:sz w:val="16"/>
          <w:szCs w:val="16"/>
        </w:rPr>
        <w:t xml:space="preserve">CMA questions use exact terms, and one word can change the answer.</w:t>
      </w:r>
    </w:p>
    <w:p>
      <w:pPr>
        <w:spacing w:after="18"/>
        <w:ind w:left="300" w:hanging="300"/>
      </w:pPr>
      <w:r>
        <w:rPr>
          <w:b/>
          <w:bCs/>
          <w:color w:val="8186EF"/>
          <w:sz w:val="16"/>
          <w:szCs w:val="16"/>
        </w:rPr>
        <w:t xml:space="preserve">22  </w:t>
      </w:r>
      <w:r>
        <w:rPr>
          <w:sz w:val="16"/>
          <w:szCs w:val="16"/>
        </w:rPr>
        <w:t xml:space="preserve">Goods available minus FIFO ending inventory (the newest costs). A is wrong: This is FIFO ending inventory, not cost of goods sold. C is wrong: This is the weighted-average result.</w:t>
      </w:r>
    </w:p>
    <w:p>
      <w:pPr>
        <w:spacing w:after="18"/>
        <w:ind w:left="300" w:hanging="300"/>
      </w:pPr>
      <w:r>
        <w:rPr>
          <w:b/>
          <w:bCs/>
          <w:color w:val="8186EF"/>
          <w:sz w:val="16"/>
          <w:szCs w:val="16"/>
        </w:rPr>
        <w:t xml:space="preserve">23  </w:t>
      </w:r>
      <w:r>
        <w:rPr>
          <w:sz w:val="16"/>
          <w:szCs w:val="16"/>
        </w:rPr>
        <w:t xml:space="preserve">150 units remain at the oldest costs: 100 × $10 + 50 × $12 = 1,600. B is wrong: This uses the weighted average ($12.25 × 150, rounded). C is wrong: This uses the newest costs (FIFO).</w:t>
      </w:r>
    </w:p>
    <w:p>
      <w:pPr>
        <w:spacing w:after="18"/>
        <w:ind w:left="300" w:hanging="300"/>
      </w:pPr>
      <w:r>
        <w:rPr>
          <w:b/>
          <w:bCs/>
          <w:color w:val="8186EF"/>
          <w:sz w:val="16"/>
          <w:szCs w:val="16"/>
        </w:rPr>
        <w:t xml:space="preserve">24  </w:t>
      </w:r>
      <w:r>
        <w:rPr>
          <w:sz w:val="16"/>
          <w:szCs w:val="16"/>
        </w:rPr>
        <w:t xml:space="preserve">Every item on a Workshop sheet is settled by something printed on the same sheet.</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7.2 · Which costs belong in inventory?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inventory · cost of goods sold · freight-in · purchase discount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inventory · cost of goods sold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abnormal waste · inventory · Period cost · freight-out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F</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Period cost · freight-out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Inventory is recorded at cost. Cost means all the costs needed to bring the goods to their present condition and location. These are inventoriable costs: they stay in inventory as an asset, and they become cost of goods sold when the goods are sold. Other costs are period costs: they are expenses in the period in which they occur.</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These are inventoriable costs: they stay in inventory as an asset, and they become cost of goods sold when the goods are sold.</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“These are inventoriable costs: they stay in inventory as an asset, and they become cost of goods sold when the goods are sold. Other costs are period costs: they are expenses in the period in which they occur. For goods that are bought, cost includes the purchase price, freight-in, import duties, non-refundable taxes and handling, less trade discounts and any purchase discount taken for early payment.”</w:t>
      </w:r>
    </w:p>
    <w:p>
      <w:pPr>
        <w:spacing w:after="18"/>
        <w:ind w:left="300" w:hanging="300"/>
      </w:pPr>
      <w:r>
        <w:rPr>
          <w:b/>
          <w:bCs/>
          <w:color w:val="8186EF"/>
          <w:sz w:val="16"/>
          <w:szCs w:val="16"/>
        </w:rPr>
        <w:t xml:space="preserve">2  </w:t>
      </w:r>
      <w:r>
        <w:rPr>
          <w:sz w:val="16"/>
          <w:szCs w:val="16"/>
        </w:rPr>
        <w:t xml:space="preserve">The book writes: “In the same way, abnormal waste (unusual spoilage, idle time or extra freight) is an expense, not inventory cost. Period costs include freight-out to customers, sales commissions, advertising, general and administrative costs, and the storage of finished goods. Interest on inventory that is produced routinely is also a period cost.”</w:t>
      </w:r>
    </w:p>
    <w:p>
      <w:pPr>
        <w:spacing w:after="18"/>
        <w:ind w:left="300" w:hanging="300"/>
      </w:pPr>
      <w:r>
        <w:rPr>
          <w:b/>
          <w:bCs/>
          <w:color w:val="8186EF"/>
          <w:sz w:val="16"/>
          <w:szCs w:val="16"/>
        </w:rPr>
        <w:t xml:space="preserve">3  </w:t>
      </w:r>
      <w:r>
        <w:rPr>
          <w:sz w:val="16"/>
          <w:szCs w:val="16"/>
        </w:rPr>
        <w:t xml:space="preserve">The book writes: “Period costs include freight-out to customers, sales commissions, advertising, general and administrative costs, and the storage of finished goods. Interest on inventory that is produced routinely is also a period cost. Inventoriable costs versus period costs.”</w:t>
      </w:r>
    </w:p>
    <w:p>
      <w:pPr>
        <w:spacing w:after="18"/>
        <w:ind w:left="300" w:hanging="300"/>
      </w:pPr>
      <w:r>
        <w:rPr>
          <w:b/>
          <w:bCs/>
          <w:color w:val="8186EF"/>
          <w:sz w:val="16"/>
          <w:szCs w:val="16"/>
        </w:rPr>
        <w:t xml:space="preserve">4  </w:t>
      </w:r>
      <w:r>
        <w:rPr>
          <w:sz w:val="16"/>
          <w:szCs w:val="16"/>
        </w:rPr>
        <w:t xml:space="preserve">The book pairs Invoice price with “20,000”.</w:t>
      </w:r>
    </w:p>
    <w:p>
      <w:pPr>
        <w:spacing w:after="18"/>
        <w:ind w:left="300" w:hanging="300"/>
      </w:pPr>
      <w:r>
        <w:rPr>
          <w:b/>
          <w:bCs/>
          <w:color w:val="8186EF"/>
          <w:sz w:val="16"/>
          <w:szCs w:val="16"/>
        </w:rPr>
        <w:t xml:space="preserve">5  </w:t>
      </w:r>
      <w:r>
        <w:rPr>
          <w:sz w:val="16"/>
          <w:szCs w:val="16"/>
        </w:rPr>
        <w:t xml:space="preserve">The book’s own table gives 20,000 as the amount of Invoice price.</w:t>
      </w:r>
    </w:p>
    <w:p>
      <w:pPr>
        <w:spacing w:after="18"/>
        <w:ind w:left="300" w:hanging="300"/>
      </w:pPr>
      <w:r>
        <w:rPr>
          <w:b/>
          <w:bCs/>
          <w:color w:val="8186EF"/>
          <w:sz w:val="16"/>
          <w:szCs w:val="16"/>
        </w:rPr>
        <w:t xml:space="preserve">6  </w:t>
      </w:r>
      <w:r>
        <w:rPr>
          <w:sz w:val="16"/>
          <w:szCs w:val="16"/>
        </w:rPr>
        <w:t xml:space="preserve">The book’s own table gives (400) as the amount of Purchase discount taken.</w:t>
      </w:r>
    </w:p>
    <w:p>
      <w:pPr>
        <w:spacing w:after="18"/>
        <w:ind w:left="300" w:hanging="300"/>
      </w:pPr>
      <w:r>
        <w:rPr>
          <w:b/>
          <w:bCs/>
          <w:color w:val="8186EF"/>
          <w:sz w:val="16"/>
          <w:szCs w:val="16"/>
        </w:rPr>
        <w:t xml:space="preserve">7  </w:t>
      </w:r>
      <w:r>
        <w:rPr>
          <w:sz w:val="16"/>
          <w:szCs w:val="16"/>
        </w:rPr>
        <w:t xml:space="preserve">The book’s own table gives 1,200 as the amount of Freight-in from the port to Amman.</w:t>
      </w:r>
    </w:p>
    <w:p>
      <w:pPr>
        <w:spacing w:after="18"/>
        <w:ind w:left="300" w:hanging="300"/>
      </w:pPr>
      <w:r>
        <w:rPr>
          <w:b/>
          <w:bCs/>
          <w:color w:val="8186EF"/>
          <w:sz w:val="16"/>
          <w:szCs w:val="16"/>
        </w:rPr>
        <w:t xml:space="preserve">8  </w:t>
      </w:r>
      <w:r>
        <w:rPr>
          <w:sz w:val="16"/>
          <w:szCs w:val="16"/>
        </w:rPr>
        <w:t xml:space="preserve">The book’s own table gives 900 as the amount of Import duty (not refundable).</w:t>
      </w:r>
    </w:p>
    <w:p>
      <w:pPr>
        <w:spacing w:after="18"/>
        <w:ind w:left="300" w:hanging="300"/>
      </w:pPr>
      <w:r>
        <w:rPr>
          <w:b/>
          <w:bCs/>
          <w:color w:val="8186EF"/>
          <w:sz w:val="16"/>
          <w:szCs w:val="16"/>
        </w:rPr>
        <w:t xml:space="preserve">9  </w:t>
      </w:r>
      <w:r>
        <w:rPr>
          <w:sz w:val="16"/>
          <w:szCs w:val="16"/>
        </w:rPr>
        <w:t xml:space="preserve">The book pairs Invoice price with “Yes”.</w:t>
      </w:r>
    </w:p>
    <w:p>
      <w:pPr>
        <w:spacing w:after="18"/>
        <w:ind w:left="300" w:hanging="300"/>
      </w:pPr>
      <w:r>
        <w:rPr>
          <w:b/>
          <w:bCs/>
          <w:color w:val="8186EF"/>
          <w:sz w:val="16"/>
          <w:szCs w:val="16"/>
        </w:rPr>
        <w:t xml:space="preserve">10  </w:t>
      </w:r>
      <w:r>
        <w:rPr>
          <w:sz w:val="16"/>
          <w:szCs w:val="16"/>
        </w:rPr>
        <w:t xml:space="preserve">The book pairs Purchase discount taken with “Yes (reduces cost)”, not with “Yes”.</w:t>
      </w:r>
    </w:p>
    <w:p>
      <w:pPr>
        <w:spacing w:after="18"/>
        <w:ind w:left="300" w:hanging="300"/>
      </w:pPr>
      <w:r>
        <w:rPr>
          <w:b/>
          <w:bCs/>
          <w:color w:val="8186EF"/>
          <w:sz w:val="16"/>
          <w:szCs w:val="16"/>
        </w:rPr>
        <w:t xml:space="preserve">12  </w:t>
      </w:r>
      <w:r>
        <w:rPr>
          <w:sz w:val="16"/>
          <w:szCs w:val="16"/>
        </w:rPr>
        <w:t xml:space="preserve">The book gives Yes as the inventory cost? of Invoice price.</w:t>
      </w:r>
    </w:p>
    <w:p>
      <w:pPr>
        <w:spacing w:after="18"/>
        <w:ind w:left="300" w:hanging="300"/>
      </w:pPr>
      <w:r>
        <w:rPr>
          <w:b/>
          <w:bCs/>
          <w:color w:val="8186EF"/>
          <w:sz w:val="16"/>
          <w:szCs w:val="16"/>
        </w:rPr>
        <w:t xml:space="preserve">13  </w:t>
      </w:r>
      <w:r>
        <w:rPr>
          <w:sz w:val="16"/>
          <w:szCs w:val="16"/>
        </w:rPr>
        <w:t xml:space="preserve">It tracks the cost of each individual item, which is practical only for distinct items. B is wrong: Identical items are interchangeable; tracking each one is costly and allows manipulation. C is wrong: Price trends do not decide when specific identification fits.</w:t>
      </w:r>
    </w:p>
    <w:p>
      <w:pPr>
        <w:spacing w:after="18"/>
        <w:ind w:left="300" w:hanging="300"/>
      </w:pPr>
      <w:r>
        <w:rPr>
          <w:b/>
          <w:bCs/>
          <w:color w:val="8186EF"/>
          <w:sz w:val="16"/>
          <w:szCs w:val="16"/>
        </w:rPr>
        <w:t xml:space="preserve">14  </w:t>
      </w:r>
      <w:r>
        <w:rPr>
          <w:sz w:val="16"/>
          <w:szCs w:val="16"/>
        </w:rPr>
        <w:t xml:space="preserve">With falling prices, LIFO puts the newest, lowest costs into cost of goods sold. A is wrong: FIFO gives the highest profit only when prices rise. B is wrong: The average is always between FIFO and LIFO.</w:t>
      </w:r>
    </w:p>
    <w:p>
      <w:pPr>
        <w:spacing w:after="18"/>
        <w:ind w:left="300" w:hanging="300"/>
      </w:pPr>
      <w:r>
        <w:rPr>
          <w:b/>
          <w:bCs/>
          <w:color w:val="8186EF"/>
          <w:sz w:val="16"/>
          <w:szCs w:val="16"/>
        </w:rPr>
        <w:t xml:space="preserve">15  </w:t>
      </w:r>
      <w:r>
        <w:rPr>
          <w:sz w:val="16"/>
          <w:szCs w:val="16"/>
        </w:rPr>
        <w:t xml:space="preserve">FIFO inventory minus LIFO inventory. A is wrong: This is the tax saving, not the reserve. B is wrong: This compares FIFO with the weighted average, not with LIFO.</w:t>
      </w:r>
    </w:p>
    <w:p>
      <w:pPr>
        <w:spacing w:after="18"/>
        <w:ind w:left="300" w:hanging="300"/>
      </w:pPr>
      <w:r>
        <w:rPr>
          <w:b/>
          <w:bCs/>
          <w:color w:val="8186EF"/>
          <w:sz w:val="16"/>
          <w:szCs w:val="16"/>
        </w:rPr>
        <w:t xml:space="preserve">16  </w:t>
      </w:r>
      <w:r>
        <w:rPr>
          <w:sz w:val="16"/>
          <w:szCs w:val="16"/>
        </w:rPr>
        <w:t xml:space="preserve">Old, low costs flow into cost of goods sold, so gross profit rises for that year. A is wrong: Low old costs reduce cost of goods sold. C is wrong: The old costs are much lower than current costs, so income changes.</w:t>
      </w:r>
    </w:p>
    <w:p>
      <w:pPr>
        <w:spacing w:after="18"/>
        <w:ind w:left="300" w:hanging="300"/>
      </w:pPr>
      <w:r>
        <w:rPr>
          <w:b/>
          <w:bCs/>
          <w:color w:val="8186EF"/>
          <w:sz w:val="16"/>
          <w:szCs w:val="16"/>
        </w:rPr>
        <w:t xml:space="preserve">17  </w:t>
      </w:r>
      <w:r>
        <w:rPr>
          <w:sz w:val="16"/>
          <w:szCs w:val="16"/>
        </w:rPr>
        <w:t xml:space="preserve">It tracks the cost of each individual item, which is practical only for distinct items. B is wrong: Identical items are interchangeable; tracking each one is costly and allows manipulation. C is wrong: Price trends do not decide when specific identification fits.</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25  </w:t>
      </w:r>
      <w:r>
        <w:rPr>
          <w:sz w:val="16"/>
          <w:szCs w:val="16"/>
        </w:rPr>
        <w:t xml:space="preserve">It is a U.S. tax rule that links the tax method to the financial statements. B is wrong: IFRS prohibits LIFO. C is wrong: The rule links tax and book methods; it does not force one method everywhere.</w:t>
      </w:r>
    </w:p>
    <w:p>
      <w:pPr>
        <w:spacing w:after="18"/>
        <w:ind w:left="300" w:hanging="300"/>
      </w:pPr>
      <w:r>
        <w:rPr>
          <w:b/>
          <w:bCs/>
          <w:color w:val="8186EF"/>
          <w:sz w:val="16"/>
          <w:szCs w:val="16"/>
        </w:rPr>
        <w:t xml:space="preserve">26  </w:t>
      </w:r>
      <w:r>
        <w:rPr>
          <w:sz w:val="16"/>
          <w:szCs w:val="16"/>
        </w:rPr>
        <w:t xml:space="preserve">The error overstates 2025 income and understates 2026 income by the same amount, so it counterbalances. A is wrong: This is the effect at the end of 2025, not 2026. C is wrong: Only 2026 income is understated; the cumulative effect is zero.</w:t>
      </w:r>
    </w:p>
    <w:p>
      <w:pPr>
        <w:spacing w:after="18"/>
        <w:ind w:left="300" w:hanging="300"/>
      </w:pPr>
      <w:r>
        <w:rPr>
          <w:b/>
          <w:bCs/>
          <w:color w:val="8186EF"/>
          <w:sz w:val="16"/>
          <w:szCs w:val="16"/>
        </w:rPr>
        <w:t xml:space="preserve">27  </w:t>
      </w:r>
      <w:r>
        <w:rPr>
          <w:sz w:val="16"/>
          <w:szCs w:val="16"/>
        </w:rPr>
        <w:t xml:space="preserve">Every item on a Workshop sheet is settled by something printed on the same sheet.</w:t>
      </w:r>
    </w:p>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7.3 · Cost flow assumptions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cost of goods sold · inventory · cost flow assumption · Specific identification</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periodic inventory system · cost of goods sold</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periodic inventory system · cost of goods sold · perpetual inventory system</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F</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cost of goods sold · inventory · specific identification</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LIFO: 84,000 · 288,000 · 93,000 · 279,000</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Unit costs change during the year. When a company sells some units and keeps others, it must decide which costs go to cost of goods sold and which stay in ending inventory. This decision is a cost flow assumption. It does not need to match the physical flow of the goods.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Average (weighted / moving): 93,000 · 279,000 · 97,633 · 274,367</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12  </w:t>
            </w:r>
            <w:r>
              <w:rPr>
                <w:b/>
                <w:bCs/>
                <w:color w:val="1F7A6A"/>
                <w:sz w:val="16"/>
                <w:szCs w:val="16"/>
              </w:rPr>
              <w:t xml:space="preserve">what the book says</w:t>
            </w:r>
          </w:p>
          <w:p>
            <w:pPr>
              <w:spacing w:after="34"/>
              <w:ind w:left="300"/>
            </w:pPr>
            <w:r>
              <w:rPr>
                <w:sz w:val="17"/>
                <w:szCs w:val="17"/>
              </w:rPr>
              <w:t xml:space="preserve">In a periodic inventory system, the company counts the goods at year-end and calculates cost of goods sold for the whole period.</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“When a company sells some units and keeps others, it must decide which costs go to cost of goods sold and which stay in ending inventory. This decision is a cost flow assumption. It does not need to match the physical flow of the goods. Specific identification tracks the actual cost of each item.”</w:t>
      </w:r>
    </w:p>
    <w:p>
      <w:pPr>
        <w:spacing w:after="18"/>
        <w:ind w:left="300" w:hanging="300"/>
      </w:pPr>
      <w:r>
        <w:rPr>
          <w:b/>
          <w:bCs/>
          <w:color w:val="8186EF"/>
          <w:sz w:val="16"/>
          <w:szCs w:val="16"/>
        </w:rPr>
        <w:t xml:space="preserve">2  </w:t>
      </w:r>
      <w:r>
        <w:rPr>
          <w:sz w:val="16"/>
          <w:szCs w:val="16"/>
        </w:rPr>
        <w:t xml:space="preserve">The book writes: “In a periodic inventory system, the company counts the goods at year-end and calculates cost of goods sold for the whole period. In a perpetual inventory system, it updates inventory and cost of goods sold after every purchase and every sale.”</w:t>
      </w:r>
    </w:p>
    <w:p>
      <w:pPr>
        <w:spacing w:after="18"/>
        <w:ind w:left="300" w:hanging="300"/>
      </w:pPr>
      <w:r>
        <w:rPr>
          <w:b/>
          <w:bCs/>
          <w:color w:val="8186EF"/>
          <w:sz w:val="16"/>
          <w:szCs w:val="16"/>
        </w:rPr>
        <w:t xml:space="preserve">3  </w:t>
      </w:r>
      <w:r>
        <w:rPr>
          <w:sz w:val="16"/>
          <w:szCs w:val="16"/>
        </w:rPr>
        <w:t xml:space="preserve">The book writes: “Then check that cost of goods sold plus ending inventory equals the cost of goods available. Faded example: periodic LIFO for Dubai pastry trays; the learner completes the dashed boxes. IAS 2 allows FIFO and the weighted average, and it requires specific identification for items that are not interchangeable.”</w:t>
      </w:r>
    </w:p>
    <w:p>
      <w:pPr>
        <w:spacing w:after="18"/>
        <w:ind w:left="300" w:hanging="300"/>
      </w:pPr>
      <w:r>
        <w:rPr>
          <w:b/>
          <w:bCs/>
          <w:color w:val="8186EF"/>
          <w:sz w:val="16"/>
          <w:szCs w:val="16"/>
        </w:rPr>
        <w:t xml:space="preserve">4  </w:t>
      </w:r>
      <w:r>
        <w:rPr>
          <w:sz w:val="16"/>
          <w:szCs w:val="16"/>
        </w:rPr>
        <w:t xml:space="preserve">The book pairs FIFO with “100,000”.</w:t>
      </w:r>
    </w:p>
    <w:p>
      <w:pPr>
        <w:spacing w:after="18"/>
        <w:ind w:left="300" w:hanging="300"/>
      </w:pPr>
      <w:r>
        <w:rPr>
          <w:b/>
          <w:bCs/>
          <w:color w:val="8186EF"/>
          <w:sz w:val="16"/>
          <w:szCs w:val="16"/>
        </w:rPr>
        <w:t xml:space="preserve">5  </w:t>
      </w:r>
      <w:r>
        <w:rPr>
          <w:sz w:val="16"/>
          <w:szCs w:val="16"/>
        </w:rPr>
        <w:t xml:space="preserve">The book’s own table pairs FIFO with “100,000”.</w:t>
      </w:r>
    </w:p>
    <w:p>
      <w:pPr>
        <w:spacing w:after="18"/>
        <w:ind w:left="300" w:hanging="300"/>
      </w:pPr>
      <w:r>
        <w:rPr>
          <w:b/>
          <w:bCs/>
          <w:color w:val="8186EF"/>
          <w:sz w:val="16"/>
          <w:szCs w:val="16"/>
        </w:rPr>
        <w:t xml:space="preserve">6  </w:t>
      </w:r>
      <w:r>
        <w:rPr>
          <w:sz w:val="16"/>
          <w:szCs w:val="16"/>
        </w:rPr>
        <w:t xml:space="preserve">The book’s own table pairs LIFO with “84,000”.</w:t>
      </w:r>
    </w:p>
    <w:p>
      <w:pPr>
        <w:spacing w:after="18"/>
        <w:ind w:left="300" w:hanging="300"/>
      </w:pPr>
      <w:r>
        <w:rPr>
          <w:b/>
          <w:bCs/>
          <w:color w:val="8186EF"/>
          <w:sz w:val="16"/>
          <w:szCs w:val="16"/>
        </w:rPr>
        <w:t xml:space="preserve">7  </w:t>
      </w:r>
      <w:r>
        <w:rPr>
          <w:sz w:val="16"/>
          <w:szCs w:val="16"/>
        </w:rPr>
        <w:t xml:space="preserve">The book’s own table pairs Average (weighted / moving) with “93,000”.</w:t>
      </w:r>
    </w:p>
    <w:p>
      <w:pPr>
        <w:spacing w:after="18"/>
        <w:ind w:left="300" w:hanging="300"/>
      </w:pPr>
      <w:r>
        <w:rPr>
          <w:b/>
          <w:bCs/>
          <w:color w:val="8186EF"/>
          <w:sz w:val="16"/>
          <w:szCs w:val="16"/>
        </w:rPr>
        <w:t xml:space="preserve">8  </w:t>
      </w:r>
      <w:r>
        <w:rPr>
          <w:sz w:val="16"/>
          <w:szCs w:val="16"/>
        </w:rPr>
        <w:t xml:space="preserve">The book pairs FIFO with “272,000”.</w:t>
      </w:r>
    </w:p>
    <w:p>
      <w:pPr>
        <w:spacing w:after="18"/>
        <w:ind w:left="300" w:hanging="300"/>
      </w:pPr>
      <w:r>
        <w:rPr>
          <w:b/>
          <w:bCs/>
          <w:color w:val="8186EF"/>
          <w:sz w:val="16"/>
          <w:szCs w:val="16"/>
        </w:rPr>
        <w:t xml:space="preserve">9  </w:t>
      </w:r>
      <w:r>
        <w:rPr>
          <w:sz w:val="16"/>
          <w:szCs w:val="16"/>
        </w:rPr>
        <w:t xml:space="preserve">The book pairs LIFO with “279,000”, not with “274,367”.</w:t>
      </w:r>
    </w:p>
    <w:p>
      <w:pPr>
        <w:spacing w:after="18"/>
        <w:ind w:left="300" w:hanging="300"/>
      </w:pPr>
      <w:r>
        <w:rPr>
          <w:b/>
          <w:bCs/>
          <w:color w:val="8186EF"/>
          <w:sz w:val="16"/>
          <w:szCs w:val="16"/>
        </w:rPr>
        <w:t xml:space="preserve">13  </w:t>
      </w:r>
      <w:r>
        <w:rPr>
          <w:sz w:val="16"/>
          <w:szCs w:val="16"/>
        </w:rPr>
        <w:t xml:space="preserve">The book gives 272,000 as the perpetual: cogs of FIFO.</w:t>
      </w:r>
    </w:p>
    <w:p>
      <w:pPr>
        <w:spacing w:after="18"/>
        <w:ind w:left="300" w:hanging="300"/>
      </w:pPr>
      <w:r>
        <w:rPr>
          <w:b/>
          <w:bCs/>
          <w:color w:val="8186EF"/>
          <w:sz w:val="16"/>
          <w:szCs w:val="16"/>
        </w:rPr>
        <w:t xml:space="preserve">14  </w:t>
      </w:r>
      <w:r>
        <w:rPr>
          <w:sz w:val="16"/>
          <w:szCs w:val="16"/>
        </w:rPr>
        <w:t xml:space="preserve">After-tax effect = pretax error × (1 − tax rate). A is wrong: This is the tax effect only. C is wrong: This is the pretax effect.</w:t>
      </w:r>
    </w:p>
    <w:p>
      <w:pPr>
        <w:spacing w:after="18"/>
        <w:ind w:left="300" w:hanging="300"/>
      </w:pPr>
      <w:r>
        <w:rPr>
          <w:b/>
          <w:bCs/>
          <w:color w:val="8186EF"/>
          <w:sz w:val="16"/>
          <w:szCs w:val="16"/>
        </w:rPr>
        <w:t xml:space="preserve">15  </w:t>
      </w:r>
      <w:r>
        <w:rPr>
          <w:sz w:val="16"/>
          <w:szCs w:val="16"/>
        </w:rPr>
        <w:t xml:space="preserve">COGS = beginning inventory + purchases − ending inventory, so low ending inventory raises COGS. A is wrong: This reverses the direction. B is wrong: Ending inventory directly changes COGS.</w:t>
      </w:r>
    </w:p>
    <w:p>
      <w:pPr>
        <w:spacing w:after="18"/>
        <w:ind w:left="300" w:hanging="300"/>
      </w:pPr>
      <w:r>
        <w:rPr>
          <w:b/>
          <w:bCs/>
          <w:color w:val="8186EF"/>
          <w:sz w:val="16"/>
          <w:szCs w:val="16"/>
        </w:rPr>
        <w:t xml:space="preserve">16  </w:t>
      </w:r>
      <w:r>
        <w:rPr>
          <w:sz w:val="16"/>
          <w:szCs w:val="16"/>
        </w:rPr>
        <w:t xml:space="preserve">Inventory (an asset) and accounts payable (a liability) both increase. B is wrong: The olives become an expense only when the products are sold. C is wrong: Buying on credit creates a liability, not equity.</w:t>
      </w:r>
    </w:p>
    <w:p>
      <w:pPr>
        <w:spacing w:after="18"/>
        <w:ind w:left="300" w:hanging="300"/>
      </w:pPr>
      <w:r>
        <w:rPr>
          <w:b/>
          <w:bCs/>
          <w:color w:val="8186EF"/>
          <w:sz w:val="16"/>
          <w:szCs w:val="16"/>
        </w:rPr>
        <w:t xml:space="preserve">17  </w:t>
      </w:r>
      <w:r>
        <w:rPr>
          <w:sz w:val="16"/>
          <w:szCs w:val="16"/>
        </w:rPr>
        <w:t xml:space="preserve">Cost of goods sold links directly to each sale. A is wrong: Allocation is used for costs such as depreciation. C is wrong: Immediate recognition is for costs with no clear link to revenue.</w:t>
      </w:r>
    </w:p>
    <w:p>
      <w:pPr>
        <w:spacing w:after="18"/>
        <w:ind w:left="300" w:hanging="300"/>
      </w:pPr>
      <w:r>
        <w:rPr>
          <w:b/>
          <w:bCs/>
          <w:color w:val="8186EF"/>
          <w:sz w:val="16"/>
          <w:szCs w:val="16"/>
        </w:rPr>
        <w:t xml:space="preserve">18  </w:t>
      </w:r>
      <w:r>
        <w:rPr>
          <w:sz w:val="16"/>
          <w:szCs w:val="16"/>
        </w:rPr>
        <w:t xml:space="preserve">After-tax effect = pretax error × (1 − tax rate). A is wrong: This is the tax effect only. C is wrong: This is the pretax effect.</w:t>
      </w:r>
    </w:p>
    <w:p>
      <w:pPr>
        <w:spacing w:after="18"/>
        <w:ind w:left="300" w:hanging="300"/>
      </w:pPr>
      <w:r>
        <w:rPr>
          <w:b/>
          <w:bCs/>
          <w:color w:val="8186EF"/>
          <w:sz w:val="16"/>
          <w:szCs w:val="16"/>
        </w:rPr>
        <w:t xml:space="preserve">19  </w:t>
      </w:r>
      <w:r>
        <w:rPr>
          <w:sz w:val="16"/>
          <w:szCs w:val="16"/>
        </w:rPr>
        <w:t xml:space="preserve">CMA questions use exact terms, and one word can change the answer.</w:t>
      </w:r>
    </w:p>
    <w:p>
      <w:pPr>
        <w:spacing w:after="18"/>
        <w:ind w:left="300" w:hanging="300"/>
      </w:pPr>
      <w:r>
        <w:rPr>
          <w:b/>
          <w:bCs/>
          <w:color w:val="8186EF"/>
          <w:sz w:val="16"/>
          <w:szCs w:val="16"/>
        </w:rPr>
        <w:t xml:space="preserve">26  </w:t>
      </w:r>
      <w:r>
        <w:rPr>
          <w:sz w:val="16"/>
          <w:szCs w:val="16"/>
        </w:rPr>
        <w:t xml:space="preserve">The book’s own table pairs FIFO with “the newest costs: 2,000 × $50”.</w:t>
      </w:r>
    </w:p>
    <w:p>
      <w:pPr>
        <w:spacing w:after="18"/>
        <w:ind w:left="300" w:hanging="300"/>
      </w:pPr>
      <w:r>
        <w:rPr>
          <w:b/>
          <w:bCs/>
          <w:color w:val="8186EF"/>
          <w:sz w:val="16"/>
          <w:szCs w:val="16"/>
        </w:rPr>
        <w:t xml:space="preserve">27  </w:t>
      </w:r>
      <w:r>
        <w:rPr>
          <w:sz w:val="16"/>
          <w:szCs w:val="16"/>
        </w:rPr>
        <w:t xml:space="preserve">The book’s own table pairs LIFO with “the oldest costs: 1,000 × $40 + 1,000 × $44”.</w:t>
      </w:r>
    </w:p>
    <w:p>
      <w:pPr>
        <w:spacing w:after="18"/>
        <w:ind w:left="300" w:hanging="300"/>
      </w:pPr>
      <w:r>
        <w:rPr>
          <w:b/>
          <w:bCs/>
          <w:color w:val="8186EF"/>
          <w:sz w:val="16"/>
          <w:szCs w:val="16"/>
        </w:rPr>
        <w:t xml:space="preserve">28  </w:t>
      </w:r>
      <w:r>
        <w:rPr>
          <w:sz w:val="16"/>
          <w:szCs w:val="16"/>
        </w:rPr>
        <w:t xml:space="preserve">The book’s own table pairs Weighted average with “2,000 × $46.50 (= 372,000 ÷ 8,000)”.</w:t>
      </w:r>
    </w:p>
    <w:p>
      <w:pPr>
        <w:spacing w:after="18"/>
        <w:ind w:left="300" w:hanging="300"/>
      </w:pPr>
      <w:r>
        <w:rPr>
          <w:b/>
          <w:bCs/>
          <w:color w:val="8186EF"/>
          <w:sz w:val="16"/>
          <w:szCs w:val="16"/>
        </w:rPr>
        <w:t xml:space="preserve">29  </w:t>
      </w:r>
      <w:r>
        <w:rPr>
          <w:sz w:val="16"/>
          <w:szCs w:val="16"/>
        </w:rPr>
        <w:t xml:space="preserve">IAS 2 prohibits LIFO. A is wrong: FIFO is allowed under IAS 2. B is wrong: The weighted average is allowed under IAS 2.</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7.4 · Effects on income, taxes and assets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cost of goods sold · gross profit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inventory · LIFO reserve · cost of goods sold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cost of goods sold · LIFO reserve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When prices are rising, the methods give very different results. FIFO puts the old, cheaper costs into cost of goods sold. So FIFO gives the lowest cost of goods sold, the highest gross profit, the highest income tax and the highest ending inventory. LIFO gives the opposite. The weighted average falls in between. When prices are falling, all these relationsh</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“When prices are rising, the methods give very different results. FIFO puts the old, cheaper costs into cost of goods sold. So FIFO gives the lowest cost of goods sold, the highest gross profit, the highest income tax and the highest ending inventory.”</w:t>
      </w:r>
    </w:p>
    <w:p>
      <w:pPr>
        <w:spacing w:after="18"/>
        <w:ind w:left="300" w:hanging="300"/>
      </w:pPr>
      <w:r>
        <w:rPr>
          <w:b/>
          <w:bCs/>
          <w:color w:val="8186EF"/>
          <w:sz w:val="16"/>
          <w:szCs w:val="16"/>
        </w:rPr>
        <w:t xml:space="preserve">2  </w:t>
      </w:r>
      <w:r>
        <w:rPr>
          <w:sz w:val="16"/>
          <w:szCs w:val="16"/>
        </w:rPr>
        <w:t xml:space="preserve">The book writes: “An analyst can convert LIFO results to FIFO with two relationships. FIFO inventory equals LIFO inventory plus the LIFO reserve. FIFO cost of goods sold equals LIFO cost of goods sold minus the increase in the LIFO reserve during the year.”</w:t>
      </w:r>
    </w:p>
    <w:p>
      <w:pPr>
        <w:spacing w:after="18"/>
        <w:ind w:left="300" w:hanging="300"/>
      </w:pPr>
      <w:r>
        <w:rPr>
          <w:b/>
          <w:bCs/>
          <w:color w:val="8186EF"/>
          <w:sz w:val="16"/>
          <w:szCs w:val="16"/>
        </w:rPr>
        <w:t xml:space="preserve">3  </w:t>
      </w:r>
      <w:r>
        <w:rPr>
          <w:sz w:val="16"/>
          <w:szCs w:val="16"/>
        </w:rPr>
        <w:t xml:space="preserve">The book writes: “A company that uses LIFO for its tax return must also use LIFO in its financial statements. To get FIFO cost of goods sold, SUBTRACT the increase in the LIFO reserve from LIFO cost of goods sold. In rising prices, LIFO gives LOWER income and LOWER taxes, not higher.”</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“Which goods belong in inventory?” as section 7.1.</w:t>
      </w:r>
    </w:p>
    <w:p>
      <w:pPr>
        <w:spacing w:after="18"/>
        <w:ind w:left="300" w:hanging="300"/>
      </w:pPr>
      <w:r>
        <w:rPr>
          <w:b/>
          <w:bCs/>
          <w:color w:val="8186EF"/>
          <w:sz w:val="16"/>
          <w:szCs w:val="16"/>
        </w:rPr>
        <w:t xml:space="preserve">6  </w:t>
      </w:r>
      <w:r>
        <w:rPr>
          <w:sz w:val="16"/>
          <w:szCs w:val="16"/>
        </w:rPr>
        <w:t xml:space="preserve">The book numbers “Which costs belong in inventory?” as section 7.2.</w:t>
      </w:r>
    </w:p>
    <w:p>
      <w:pPr>
        <w:spacing w:after="18"/>
        <w:ind w:left="300" w:hanging="300"/>
      </w:pPr>
      <w:r>
        <w:rPr>
          <w:b/>
          <w:bCs/>
          <w:color w:val="8186EF"/>
          <w:sz w:val="16"/>
          <w:szCs w:val="16"/>
        </w:rPr>
        <w:t xml:space="preserve">7  </w:t>
      </w:r>
      <w:r>
        <w:rPr>
          <w:sz w:val="16"/>
          <w:szCs w:val="16"/>
        </w:rPr>
        <w:t xml:space="preserve">The book numbers “Cost flow assumptions” as section 7.3.</w:t>
      </w:r>
    </w:p>
    <w:p>
      <w:pPr>
        <w:spacing w:after="18"/>
        <w:ind w:left="300" w:hanging="300"/>
      </w:pPr>
      <w:r>
        <w:rPr>
          <w:b/>
          <w:bCs/>
          <w:color w:val="8186EF"/>
          <w:sz w:val="16"/>
          <w:szCs w:val="16"/>
        </w:rPr>
        <w:t xml:space="preserve">8  </w:t>
      </w:r>
      <w:r>
        <w:rPr>
          <w:sz w:val="16"/>
          <w:szCs w:val="16"/>
        </w:rPr>
        <w:t xml:space="preserve">The book numbers “Effects on income, taxes and assets” as section 7.4.</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The exam marks the term, so the English word is the answer.</w:t>
      </w:r>
    </w:p>
    <w:p>
      <w:pPr>
        <w:spacing w:after="18"/>
        <w:ind w:left="300" w:hanging="300"/>
      </w:pPr>
      <w:r>
        <w:rPr>
          <w:b/>
          <w:bCs/>
          <w:color w:val="8186EF"/>
          <w:sz w:val="16"/>
          <w:szCs w:val="16"/>
        </w:rPr>
        <w:t xml:space="preserve">19  </w:t>
      </w:r>
      <w:r>
        <w:rPr>
          <w:sz w:val="16"/>
          <w:szCs w:val="16"/>
        </w:rPr>
        <w:t xml:space="preserve">Every item on a Workshop sheet is settled by something printed on the same sheet.</w:t>
      </w:r>
    </w:p>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7.5 · Inventory errors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inventory · cost of goods sold</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cost of goods sold · inventory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physical count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Cost of goods sold depends on the count: beginning inventory plus purchases minus ending inventory. If ending inventory is wrong, cost of goods sold is wrong in the same year. And because this year's ending inventory is next year's beginning inventory, the error moves into the next year too.</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E</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“If ending inventory is wrong, cost of goods sold is wrong in the same year. And because this year's ending inventory is next year's beginning inventory, the error moves into the next year too. Cost of goods sold was understated by 40, so pretax income was overstated by 40.”</w:t>
      </w:r>
    </w:p>
    <w:p>
      <w:pPr>
        <w:spacing w:after="18"/>
        <w:ind w:left="300" w:hanging="300"/>
      </w:pPr>
      <w:r>
        <w:rPr>
          <w:b/>
          <w:bCs/>
          <w:color w:val="8186EF"/>
          <w:sz w:val="16"/>
          <w:szCs w:val="16"/>
        </w:rPr>
        <w:t xml:space="preserve">2  </w:t>
      </w:r>
      <w:r>
        <w:rPr>
          <w:sz w:val="16"/>
          <w:szCs w:val="16"/>
        </w:rPr>
        <w:t xml:space="preserve">The book writes: “Errors in purchases work in a similar way. Row 3 is a classic exam item: when a purchase is left out of both purchases and the count, cost of goods sold and income are still correct, but inventory and accounts payable are both understated.”</w:t>
      </w:r>
    </w:p>
    <w:p>
      <w:pPr>
        <w:spacing w:after="18"/>
        <w:ind w:left="300" w:hanging="300"/>
      </w:pPr>
      <w:r>
        <w:rPr>
          <w:b/>
          <w:bCs/>
          <w:color w:val="8186EF"/>
          <w:sz w:val="16"/>
          <w:szCs w:val="16"/>
        </w:rPr>
        <w:t xml:space="preserve">3  </w:t>
      </w:r>
      <w:r>
        <w:rPr>
          <w:sz w:val="16"/>
          <w:szCs w:val="16"/>
        </w:rPr>
        <w:t xml:space="preserve">The book writes: “In a question, find the direction for the first year, then reverse it for the second year. SC7-10 A purchase on account at year-end was not recorded, and the goods were not included in the physical count. Net income is overstated; inventory is correct.”</w:t>
      </w:r>
    </w:p>
    <w:p>
      <w:pPr>
        <w:spacing w:after="18"/>
        <w:ind w:left="300" w:hanging="300"/>
      </w:pPr>
      <w:r>
        <w:rPr>
          <w:b/>
          <w:bCs/>
          <w:color w:val="8186EF"/>
          <w:sz w:val="16"/>
          <w:szCs w:val="16"/>
        </w:rPr>
        <w:t xml:space="preserve">4  </w:t>
      </w:r>
      <w:r>
        <w:rPr>
          <w:sz w:val="16"/>
          <w:szCs w:val="16"/>
        </w:rPr>
        <w:t xml:space="preserve">The book pairs COGS, line 2: 1,200 × $22 with “$26,400”.</w:t>
      </w:r>
    </w:p>
    <w:p>
      <w:pPr>
        <w:spacing w:after="18"/>
        <w:ind w:left="300" w:hanging="300"/>
      </w:pPr>
      <w:r>
        <w:rPr>
          <w:b/>
          <w:bCs/>
          <w:color w:val="8186EF"/>
          <w:sz w:val="16"/>
          <w:szCs w:val="16"/>
        </w:rPr>
        <w:t xml:space="preserve">5  </w:t>
      </w:r>
      <w:r>
        <w:rPr>
          <w:sz w:val="16"/>
          <w:szCs w:val="16"/>
        </w:rPr>
        <w:t xml:space="preserve">The book’s own table gives $26,400 as the answer of COGS, line 2: 1,200 × $22.</w:t>
      </w:r>
    </w:p>
    <w:p>
      <w:pPr>
        <w:spacing w:after="18"/>
        <w:ind w:left="300" w:hanging="300"/>
      </w:pPr>
      <w:r>
        <w:rPr>
          <w:b/>
          <w:bCs/>
          <w:color w:val="8186EF"/>
          <w:sz w:val="16"/>
          <w:szCs w:val="16"/>
        </w:rPr>
        <w:t xml:space="preserve">6  </w:t>
      </w:r>
      <w:r>
        <w:rPr>
          <w:sz w:val="16"/>
          <w:szCs w:val="16"/>
        </w:rPr>
        <w:t xml:space="preserve">The book’s own table gives $6,600 as the answer of Ending inventory, line 1: 300 × $22.</w:t>
      </w:r>
    </w:p>
    <w:p>
      <w:pPr>
        <w:spacing w:after="18"/>
        <w:ind w:left="300" w:hanging="300"/>
      </w:pPr>
      <w:r>
        <w:rPr>
          <w:b/>
          <w:bCs/>
          <w:color w:val="8186EF"/>
          <w:sz w:val="16"/>
          <w:szCs w:val="16"/>
        </w:rPr>
        <w:t xml:space="preserve">7  </w:t>
      </w:r>
      <w:r>
        <w:rPr>
          <w:sz w:val="16"/>
          <w:szCs w:val="16"/>
        </w:rPr>
        <w:t xml:space="preserve">The book’s own table gives $10,000 as the answer of Ending inventory, line 2: 500 × $20.</w:t>
      </w:r>
    </w:p>
    <w:p>
      <w:pPr>
        <w:spacing w:after="18"/>
        <w:ind w:left="300" w:hanging="300"/>
      </w:pPr>
      <w:r>
        <w:rPr>
          <w:b/>
          <w:bCs/>
          <w:color w:val="8186EF"/>
          <w:sz w:val="16"/>
          <w:szCs w:val="16"/>
        </w:rPr>
        <w:t xml:space="preserve">8  </w:t>
      </w:r>
      <w:r>
        <w:rPr>
          <w:sz w:val="16"/>
          <w:szCs w:val="16"/>
        </w:rPr>
        <w:t xml:space="preserve">The book’s own table gives $25,000 + $26,400 = $51,400 as the answer of Total COGS.</w:t>
      </w:r>
    </w:p>
    <w:p>
      <w:pPr>
        <w:spacing w:after="18"/>
        <w:ind w:left="300" w:hanging="300"/>
      </w:pPr>
      <w:r>
        <w:rPr>
          <w:b/>
          <w:bCs/>
          <w:color w:val="8186EF"/>
          <w:sz w:val="16"/>
          <w:szCs w:val="16"/>
        </w:rPr>
        <w:t xml:space="preserve">9  </w:t>
      </w:r>
      <w:r>
        <w:rPr>
          <w:sz w:val="16"/>
          <w:szCs w:val="16"/>
        </w:rPr>
        <w:t xml:space="preserve">The book pairs COGS, line 2: 1,200 × $22 with “$26,400”.</w:t>
      </w:r>
    </w:p>
    <w:p>
      <w:pPr>
        <w:spacing w:after="18"/>
        <w:ind w:left="300" w:hanging="300"/>
      </w:pPr>
      <w:r>
        <w:rPr>
          <w:b/>
          <w:bCs/>
          <w:color w:val="8186EF"/>
          <w:sz w:val="16"/>
          <w:szCs w:val="16"/>
        </w:rPr>
        <w:t xml:space="preserve">10  </w:t>
      </w:r>
      <w:r>
        <w:rPr>
          <w:sz w:val="16"/>
          <w:szCs w:val="16"/>
        </w:rPr>
        <w:t xml:space="preserve">The book pairs Ending inventory, line 1: 300 × $22 with “$6,600”, not with “$51,400 + $16,600 = $68,000, the cost of goods available.”.</w:t>
      </w:r>
    </w:p>
    <w:p>
      <w:pPr>
        <w:spacing w:after="18"/>
        <w:ind w:left="300" w:hanging="300"/>
      </w:pPr>
      <w:r>
        <w:rPr>
          <w:b/>
          <w:bCs/>
          <w:color w:val="8186EF"/>
          <w:sz w:val="16"/>
          <w:szCs w:val="16"/>
        </w:rPr>
        <w:t xml:space="preserve">11  </w:t>
      </w:r>
      <w:r>
        <w:rPr>
          <w:sz w:val="16"/>
          <w:szCs w:val="16"/>
        </w:rPr>
        <w:t xml:space="preserve">Compare your sentence with the book’s wording in the key.</w:t>
      </w:r>
    </w:p>
    <w:p>
      <w:pPr>
        <w:spacing w:after="18"/>
        <w:ind w:left="300" w:hanging="300"/>
      </w:pPr>
      <w:r>
        <w:rPr>
          <w:b/>
          <w:bCs/>
          <w:color w:val="8186EF"/>
          <w:sz w:val="16"/>
          <w:szCs w:val="16"/>
        </w:rPr>
        <w:t xml:space="preserve">12  </w:t>
      </w:r>
      <w:r>
        <w:rPr>
          <w:sz w:val="16"/>
          <w:szCs w:val="16"/>
        </w:rPr>
        <w:t xml:space="preserve">Every cycle settles one rule and shows where it comes from.</w:t>
      </w:r>
    </w:p>
    <w:p>
      <w:pPr>
        <w:spacing w:after="18"/>
        <w:ind w:left="300" w:hanging="300"/>
      </w:pPr>
      <w:r>
        <w:rPr>
          <w:b/>
          <w:bCs/>
          <w:color w:val="8186EF"/>
          <w:sz w:val="16"/>
          <w:szCs w:val="16"/>
        </w:rPr>
        <w:t xml:space="preserve">13  </w:t>
      </w:r>
      <w:r>
        <w:rPr>
          <w:sz w:val="16"/>
          <w:szCs w:val="16"/>
        </w:rPr>
        <w:t xml:space="preserve">CMA questions use exact terms, and one word can change the answer.</w:t>
      </w:r>
    </w:p>
    <w:p>
      <w:pPr>
        <w:spacing w:after="18"/>
        <w:ind w:left="300" w:hanging="300"/>
      </w:pPr>
      <w:r>
        <w:rPr>
          <w:b/>
          <w:bCs/>
          <w:color w:val="8186EF"/>
          <w:sz w:val="16"/>
          <w:szCs w:val="16"/>
        </w:rPr>
        <w:t xml:space="preserve">20  </w:t>
      </w:r>
      <w:r>
        <w:rPr>
          <w:sz w:val="16"/>
          <w:szCs w:val="16"/>
        </w:rPr>
        <w:t xml:space="preserve">The exam marks the term, so the English word is the answer.</w:t>
      </w:r>
    </w:p>
    <w:p>
      <w:pPr>
        <w:spacing w:after="18"/>
        <w:ind w:left="300" w:hanging="300"/>
      </w:pPr>
      <w:r>
        <w:rPr>
          <w:b/>
          <w:bCs/>
          <w:color w:val="8186EF"/>
          <w:sz w:val="16"/>
          <w:szCs w:val="16"/>
        </w:rPr>
        <w:t xml:space="preserve">21  </w:t>
      </w:r>
      <w:r>
        <w:rPr>
          <w:sz w:val="16"/>
          <w:szCs w:val="16"/>
        </w:rPr>
        <w:t xml:space="preserve">Every item on a Workshop sheet is settled by something printed on the same sheet.</w:t>
      </w:r>
    </w:p>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FOB destination · consignment · consignor · consignee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periodic inventory system · cost of goods sold · perpetual inventory system</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cost of goods sold · gross profit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7.1: Which goods belong in inventory?. 7.2: Which costs belong in inventory?. 7.3: Cost flow assumptions. 7.4: Effects on income, taxes and assets. 7.5: Inventory errors.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“Under FOB destination, the seller keeps control until the goods arrive, so the seller includes them. In a consignment, the consignor (the owner) gives goods to a consignee, who sells them for a commission. The goods stay in the consignor's inventory.”</w:t>
      </w:r>
    </w:p>
    <w:p>
      <w:pPr>
        <w:spacing w:after="18"/>
        <w:ind w:left="300" w:hanging="300"/>
      </w:pPr>
      <w:r>
        <w:rPr>
          <w:b/>
          <w:bCs/>
          <w:color w:val="8186EF"/>
          <w:sz w:val="16"/>
          <w:szCs w:val="16"/>
        </w:rPr>
        <w:t xml:space="preserve">2  </w:t>
      </w:r>
      <w:r>
        <w:rPr>
          <w:sz w:val="16"/>
          <w:szCs w:val="16"/>
        </w:rPr>
        <w:t xml:space="preserve">The book writes: “In a periodic inventory system, the company counts the goods at year-end and calculates cost of goods sold for the whole period. In a perpetual inventory system, it updates inventory and cost of goods sold after every purchase and every sale.”</w:t>
      </w:r>
    </w:p>
    <w:p>
      <w:pPr>
        <w:spacing w:after="18"/>
        <w:ind w:left="300" w:hanging="300"/>
      </w:pPr>
      <w:r>
        <w:rPr>
          <w:b/>
          <w:bCs/>
          <w:color w:val="8186EF"/>
          <w:sz w:val="16"/>
          <w:szCs w:val="16"/>
        </w:rPr>
        <w:t xml:space="preserve">3  </w:t>
      </w:r>
      <w:r>
        <w:rPr>
          <w:sz w:val="16"/>
          <w:szCs w:val="16"/>
        </w:rPr>
        <w:t xml:space="preserve">The book writes: “So FIFO gives the lowest cost of goods sold, the highest gross profit, the highest income tax and the highest ending inventory. When prices are falling, all these relationships reverse. Effects of FIFO, weighted average and LIFO when prices are rising.”</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“Which goods belong in inventory?” as section 7.1.</w:t>
      </w:r>
    </w:p>
    <w:p>
      <w:pPr>
        <w:spacing w:after="18"/>
        <w:ind w:left="300" w:hanging="300"/>
      </w:pPr>
      <w:r>
        <w:rPr>
          <w:b/>
          <w:bCs/>
          <w:color w:val="8186EF"/>
          <w:sz w:val="16"/>
          <w:szCs w:val="16"/>
        </w:rPr>
        <w:t xml:space="preserve">6  </w:t>
      </w:r>
      <w:r>
        <w:rPr>
          <w:sz w:val="16"/>
          <w:szCs w:val="16"/>
        </w:rPr>
        <w:t xml:space="preserve">The book numbers “Which costs belong in inventory?” as section 7.2.</w:t>
      </w:r>
    </w:p>
    <w:p>
      <w:pPr>
        <w:spacing w:after="18"/>
        <w:ind w:left="300" w:hanging="300"/>
      </w:pPr>
      <w:r>
        <w:rPr>
          <w:b/>
          <w:bCs/>
          <w:color w:val="8186EF"/>
          <w:sz w:val="16"/>
          <w:szCs w:val="16"/>
        </w:rPr>
        <w:t xml:space="preserve">7  </w:t>
      </w:r>
      <w:r>
        <w:rPr>
          <w:sz w:val="16"/>
          <w:szCs w:val="16"/>
        </w:rPr>
        <w:t xml:space="preserve">The book numbers “Cost flow assumptions” as section 7.3.</w:t>
      </w:r>
    </w:p>
    <w:p>
      <w:pPr>
        <w:spacing w:after="18"/>
        <w:ind w:left="300" w:hanging="300"/>
      </w:pPr>
      <w:r>
        <w:rPr>
          <w:b/>
          <w:bCs/>
          <w:color w:val="8186EF"/>
          <w:sz w:val="16"/>
          <w:szCs w:val="16"/>
        </w:rPr>
        <w:t xml:space="preserve">13  </w:t>
      </w:r>
      <w:r>
        <w:rPr>
          <w:sz w:val="16"/>
          <w:szCs w:val="16"/>
        </w:rPr>
        <w:t xml:space="preserve">LIFO sends the newest costs to cost of goods sold, so the oldest costs stay in inventory. A is wrong: The newest costs stay in inventory under FIFO. B is wrong: That is the average method.</w:t>
      </w:r>
    </w:p>
    <w:p>
      <w:pPr>
        <w:spacing w:after="18"/>
        <w:ind w:left="300" w:hanging="300"/>
      </w:pPr>
      <w:r>
        <w:rPr>
          <w:b/>
          <w:bCs/>
          <w:color w:val="8186EF"/>
          <w:sz w:val="16"/>
          <w:szCs w:val="16"/>
        </w:rPr>
        <w:t xml:space="preserve">14  </w:t>
      </w:r>
      <w:r>
        <w:rPr>
          <w:sz w:val="16"/>
          <w:szCs w:val="16"/>
        </w:rPr>
        <w:t xml:space="preserve">Cost of goods available divided by units available. A is wrong: This is the oldest unit cost. B is wrong: This is a simple average of the four unit prices. It ignores the number of units in each layer.</w:t>
      </w:r>
    </w:p>
    <w:p>
      <w:pPr>
        <w:spacing w:after="18"/>
        <w:ind w:left="300" w:hanging="300"/>
      </w:pPr>
      <w:r>
        <w:rPr>
          <w:b/>
          <w:bCs/>
          <w:color w:val="8186EF"/>
          <w:sz w:val="16"/>
          <w:szCs w:val="16"/>
        </w:rPr>
        <w:t xml:space="preserve">15  </w:t>
      </w:r>
      <w:r>
        <w:rPr>
          <w:sz w:val="16"/>
          <w:szCs w:val="16"/>
        </w:rPr>
        <w:t xml:space="preserve">FIFO puts the oldest, cheapest costs into cost of goods sold, so income is highest. B is wrong: LIFO gives the lowest income when prices rise. C is wrong: The average falls between FIFO and LIFO.</w:t>
      </w:r>
    </w:p>
    <w:p>
      <w:pPr>
        <w:spacing w:after="18"/>
        <w:ind w:left="300" w:hanging="300"/>
      </w:pPr>
      <w:r>
        <w:rPr>
          <w:b/>
          <w:bCs/>
          <w:color w:val="8186EF"/>
          <w:sz w:val="16"/>
          <w:szCs w:val="16"/>
        </w:rPr>
        <w:t xml:space="preserve">16  </w:t>
      </w:r>
      <w:r>
        <w:rPr>
          <w:sz w:val="16"/>
          <w:szCs w:val="16"/>
        </w:rPr>
        <w:t xml:space="preserve">FIFO COGS = LIFO COGS − increase in the LIFO reserve = 500,000 − 15,000. A is wrong: This subtracts the ending reserve instead of the change in the reserve. C is wrong: This adds the increase instead of subtracting it.</w:t>
      </w:r>
    </w:p>
    <w:p>
      <w:pPr>
        <w:spacing w:after="18"/>
        <w:ind w:left="300" w:hanging="300"/>
      </w:pPr>
      <w:r>
        <w:rPr>
          <w:b/>
          <w:bCs/>
          <w:color w:val="8186EF"/>
          <w:sz w:val="16"/>
          <w:szCs w:val="16"/>
        </w:rPr>
        <w:t xml:space="preserve">17  </w:t>
      </w:r>
      <w:r>
        <w:rPr>
          <w:sz w:val="16"/>
          <w:szCs w:val="16"/>
        </w:rPr>
        <w:t xml:space="preserve">Low ending inventory makes 2025 COGS too high. It also makes 2026 beginning inventory too low, so 2026 COGS is too low. A is wrong: These are the effects of an overstated ending inventory. B is wrong: The error carries into next year through beginning inventory.</w:t>
      </w:r>
    </w:p>
    <w:p>
      <w:pPr>
        <w:spacing w:after="18"/>
        <w:ind w:left="300" w:hanging="300"/>
      </w:pPr>
      <w:r>
        <w:rPr>
          <w:b/>
          <w:bCs/>
          <w:color w:val="8186EF"/>
          <w:sz w:val="16"/>
          <w:szCs w:val="16"/>
        </w:rPr>
        <w:t xml:space="preserve">18  </w:t>
      </w:r>
      <w:r>
        <w:rPr>
          <w:sz w:val="16"/>
          <w:szCs w:val="16"/>
        </w:rPr>
        <w:t xml:space="preserve">Under FOB shipping point, control passes to the buyer when the goods leave the seller. A is wrong: The seller keeps goods in transit only under FOB destination. B is wrong: Someone always controls the goods; in transit they belong to the buyer here.</w:t>
      </w:r>
    </w:p>
    <w:p>
      <w:pPr>
        <w:spacing w:after="18"/>
        <w:ind w:left="300" w:hanging="300"/>
      </w:pPr>
      <w:r>
        <w:rPr>
          <w:b/>
          <w:bCs/>
          <w:color w:val="8186EF"/>
          <w:sz w:val="16"/>
          <w:szCs w:val="16"/>
        </w:rPr>
        <w:t xml:space="preserve">19  </w:t>
      </w:r>
      <w:r>
        <w:rPr>
          <w:sz w:val="16"/>
          <w:szCs w:val="16"/>
        </w:rPr>
        <w:t xml:space="preserve">Every later answer depends on the adjusted exhibit.</w:t>
      </w:r>
    </w:p>
    <w:p>
      <w:pPr>
        <w:spacing w:after="18"/>
        <w:ind w:left="300" w:hanging="300"/>
      </w:pPr>
      <w:r>
        <w:rPr>
          <w:b/>
          <w:bCs/>
          <w:color w:val="8186EF"/>
          <w:sz w:val="16"/>
          <w:szCs w:val="16"/>
        </w:rPr>
        <w:t xml:space="preserve">20  </w:t>
      </w:r>
      <w:r>
        <w:rPr>
          <w:sz w:val="16"/>
          <w:szCs w:val="16"/>
        </w:rPr>
        <w:t xml:space="preserve">The book states item C7-1 in those words.</w:t>
      </w:r>
    </w:p>
    <w:p>
      <w:pPr>
        <w:spacing w:after="18"/>
        <w:ind w:left="300" w:hanging="300"/>
      </w:pPr>
      <w:r>
        <w:rPr>
          <w:b/>
          <w:bCs/>
          <w:color w:val="8186EF"/>
          <w:sz w:val="16"/>
          <w:szCs w:val="16"/>
        </w:rPr>
        <w:t xml:space="preserve">21  </w:t>
      </w:r>
      <w:r>
        <w:rPr>
          <w:sz w:val="16"/>
          <w:szCs w:val="16"/>
        </w:rPr>
        <w:t xml:space="preserve">The book states item C7-2 in those words.</w:t>
      </w:r>
    </w:p>
    <w:p>
      <w:pPr>
        <w:spacing w:after="18"/>
        <w:ind w:left="300" w:hanging="300"/>
      </w:pPr>
      <w:r>
        <w:rPr>
          <w:b/>
          <w:bCs/>
          <w:color w:val="8186EF"/>
          <w:sz w:val="16"/>
          <w:szCs w:val="16"/>
        </w:rPr>
        <w:t xml:space="preserve">22  </w:t>
      </w:r>
      <w:r>
        <w:rPr>
          <w:sz w:val="16"/>
          <w:szCs w:val="16"/>
        </w:rPr>
        <w:t xml:space="preserve">The book states item C7-3 in those words.</w:t>
      </w:r>
    </w:p>
    <w:p>
      <w:pPr>
        <w:spacing w:after="18"/>
        <w:ind w:left="300" w:hanging="300"/>
      </w:pPr>
      <w:r>
        <w:rPr>
          <w:b/>
          <w:bCs/>
          <w:color w:val="8186EF"/>
          <w:sz w:val="16"/>
          <w:szCs w:val="16"/>
        </w:rPr>
        <w:t xml:space="preserve">23  </w:t>
      </w:r>
      <w:r>
        <w:rPr>
          <w:sz w:val="16"/>
          <w:szCs w:val="16"/>
        </w:rPr>
        <w:t xml:space="preserve">The book states item C7-4 in those words.</w:t>
      </w:r>
    </w:p>
    <w:p>
      <w:pPr>
        <w:spacing w:after="18"/>
        <w:ind w:left="300" w:hanging="300"/>
      </w:pPr>
      <w:r>
        <w:rPr>
          <w:b/>
          <w:bCs/>
          <w:color w:val="8186EF"/>
          <w:sz w:val="16"/>
          <w:szCs w:val="16"/>
        </w:rPr>
        <w:t xml:space="preserve">24  </w:t>
      </w:r>
      <w:r>
        <w:rPr>
          <w:sz w:val="16"/>
          <w:szCs w:val="16"/>
        </w:rPr>
        <w:t xml:space="preserve">The book states item C7-5 in those words.</w:t>
      </w:r>
    </w:p>
    <w:p>
      <w:pPr>
        <w:spacing w:after="18"/>
        <w:ind w:left="300" w:hanging="300"/>
      </w:pPr>
      <w:r>
        <w:rPr>
          <w:b/>
          <w:bCs/>
          <w:color w:val="8186EF"/>
          <w:sz w:val="16"/>
          <w:szCs w:val="16"/>
        </w:rPr>
        <w:t xml:space="preserve">25  </w:t>
      </w:r>
      <w:r>
        <w:rPr>
          <w:sz w:val="16"/>
          <w:szCs w:val="16"/>
        </w:rPr>
        <w:t xml:space="preserve">The book states item C7-6 in those words.</w:t>
      </w:r>
    </w:p>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7 — answer keys</dc:title>
  <dc:subject>Inventory I: Goods, Costs and Cost Flows</dc:subject>
  <cp:category>Student Book</cp:category>
</cp:coreProperties>
</file>