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8.1 · Which test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retail inventory method · write-down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floor · write-down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write-down · floor</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At each balance sheet date, the company checks whether the cost of its inventory is still recoverable. The test depends on the cost flow method, as Figure F08-02 shows.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“Inventory measured by LIFO or the retail inventory method uses the lower of cost or market (LCM) (Section 8.2). Decision: the cost flow method decides whether LCNRV or LCM applies. Net realizable value (NRV) is the estimated selling price in the ordinary course of business, minus the costs to complete, sell and transport the goods. If NRV is below cost, the company records a write-down to NRV.”</w:t>
      </w:r>
    </w:p>
    <w:p>
      <w:pPr>
        <w:spacing w:after="18"/>
        <w:ind w:left="300" w:hanging="300"/>
      </w:pPr>
      <w:r>
        <w:rPr>
          <w:b/>
          <w:bCs/>
          <w:color w:val="8186EF"/>
          <w:sz w:val="16"/>
          <w:szCs w:val="16"/>
        </w:rPr>
        <w:t xml:space="preserve">2  </w:t>
      </w:r>
      <w:r>
        <w:rPr>
          <w:sz w:val="16"/>
          <w:szCs w:val="16"/>
        </w:rPr>
        <w:t xml:space="preserve">The book writes: “NRV = selling price − costs to complete, sell and transport. Do NOT deduct a normal profit; that only defines the LCM floor. Check the method first: FIFO or average → LCNRV; LIFO or retail → LCM. GAAP never reverses an annual write-down.”</w:t>
      </w:r>
    </w:p>
    <w:p>
      <w:pPr>
        <w:spacing w:after="18"/>
        <w:ind w:left="300" w:hanging="300"/>
      </w:pPr>
      <w:r>
        <w:rPr>
          <w:b/>
          <w:bCs/>
          <w:color w:val="8186EF"/>
          <w:sz w:val="16"/>
          <w:szCs w:val="16"/>
        </w:rPr>
        <w:t xml:space="preserve">3  </w:t>
      </w:r>
      <w:r>
        <w:rPr>
          <w:sz w:val="16"/>
          <w:szCs w:val="16"/>
        </w:rPr>
        <w:t xml:space="preserve">The book writes: “When prices recover, IAS 2 requires a reversal, limited to the original write-down. NRV = selling price − costs to complete, sell and transport. Do NOT deduct a normal profit; that only defines the LCM floor. Check the method first: FIFO or average → LCNRV; LIFO or retail → LCM.”</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2,000 as the amount of Olive oil cases on hand (FIFO layer from Chapter 7).</w:t>
      </w:r>
    </w:p>
    <w:p>
      <w:pPr>
        <w:spacing w:after="18"/>
        <w:ind w:left="300" w:hanging="300"/>
      </w:pPr>
      <w:r>
        <w:rPr>
          <w:b/>
          <w:bCs/>
          <w:color w:val="8186EF"/>
          <w:sz w:val="16"/>
          <w:szCs w:val="16"/>
        </w:rPr>
        <w:t xml:space="preserve">6  </w:t>
      </w:r>
      <w:r>
        <w:rPr>
          <w:sz w:val="16"/>
          <w:szCs w:val="16"/>
        </w:rPr>
        <w:t xml:space="preserve">The book’s own table gives $50 as the amount of Cost per case.</w:t>
      </w:r>
    </w:p>
    <w:p>
      <w:pPr>
        <w:spacing w:after="18"/>
        <w:ind w:left="300" w:hanging="300"/>
      </w:pPr>
      <w:r>
        <w:rPr>
          <w:b/>
          <w:bCs/>
          <w:color w:val="8186EF"/>
          <w:sz w:val="16"/>
          <w:szCs w:val="16"/>
        </w:rPr>
        <w:t xml:space="preserve">7  </w:t>
      </w:r>
      <w:r>
        <w:rPr>
          <w:sz w:val="16"/>
          <w:szCs w:val="16"/>
        </w:rPr>
        <w:t xml:space="preserve">The book’s own table gives $54 as the amount of New estimated selling price per case.</w:t>
      </w:r>
    </w:p>
    <w:p>
      <w:pPr>
        <w:spacing w:after="18"/>
        <w:ind w:left="300" w:hanging="300"/>
      </w:pPr>
      <w:r>
        <w:rPr>
          <w:b/>
          <w:bCs/>
          <w:color w:val="8186EF"/>
          <w:sz w:val="16"/>
          <w:szCs w:val="16"/>
        </w:rPr>
        <w:t xml:space="preserve">8  </w:t>
      </w:r>
      <w:r>
        <w:rPr>
          <w:sz w:val="16"/>
          <w:szCs w:val="16"/>
        </w:rPr>
        <w:t xml:space="preserve">Average-cost inventory uses LCNRV, and the loss goes to income. A is wrong: Replacement cost belongs to the LCM test for LIFO and retail. B is wrong: A loss must be recognized, not only disclosed.</w:t>
      </w:r>
    </w:p>
    <w:p>
      <w:pPr>
        <w:spacing w:after="18"/>
        <w:ind w:left="300" w:hanging="300"/>
      </w:pPr>
      <w:r>
        <w:rPr>
          <w:b/>
          <w:bCs/>
          <w:color w:val="8186EF"/>
          <w:sz w:val="16"/>
          <w:szCs w:val="16"/>
        </w:rPr>
        <w:t xml:space="preserve">9  </w:t>
      </w:r>
      <w:r>
        <w:rPr>
          <w:sz w:val="16"/>
          <w:szCs w:val="16"/>
        </w:rPr>
        <w:t xml:space="preserve">Ceiling = NRV = $45; replacement cost is above the ceiling, so market is the ceiling, which is below cost. A is wrong: The floor is used only when replacement cost is below it. C is wrong: Replacement cost is above the ceiling, so it cannot be market.</w:t>
      </w:r>
    </w:p>
    <w:p>
      <w:pPr>
        <w:spacing w:after="18"/>
        <w:ind w:left="300" w:hanging="300"/>
      </w:pPr>
      <w:r>
        <w:rPr>
          <w:b/>
          <w:bCs/>
          <w:color w:val="8186EF"/>
          <w:sz w:val="16"/>
          <w:szCs w:val="16"/>
        </w:rPr>
        <w:t xml:space="preserve">10  </w:t>
      </w:r>
      <w:r>
        <w:rPr>
          <w:sz w:val="16"/>
          <w:szCs w:val="16"/>
        </w:rPr>
        <w:t xml:space="preserve">The write-down created a new cost basis; U.S. GAAP prohibits reversal in later years. B is wrong: This is the IAS 2 rule. C is wrong: There is no OCI treatment for inventory.</w:t>
      </w:r>
    </w:p>
    <w:p>
      <w:pPr>
        <w:spacing w:after="18"/>
        <w:ind w:left="300" w:hanging="300"/>
      </w:pPr>
      <w:r>
        <w:rPr>
          <w:b/>
          <w:bCs/>
          <w:color w:val="8186EF"/>
          <w:sz w:val="16"/>
          <w:szCs w:val="16"/>
        </w:rPr>
        <w:t xml:space="preserve">11  </w:t>
      </w:r>
      <w:r>
        <w:rPr>
          <w:sz w:val="16"/>
          <w:szCs w:val="16"/>
        </w:rPr>
        <w:t xml:space="preserve">Interim write-downs may be recovered within the same fiscal year, up to the original loss. A is wrong: The no-reversal rule is for later annual periods, not quarters of the same year. B is wrong: Recovery is limited to the amount written down; inventory never goes above cost.</w:t>
      </w:r>
    </w:p>
    <w:p>
      <w:pPr>
        <w:spacing w:after="18"/>
        <w:ind w:left="300" w:hanging="300"/>
      </w:pPr>
      <w:r>
        <w:rPr>
          <w:b/>
          <w:bCs/>
          <w:color w:val="8186EF"/>
          <w:sz w:val="16"/>
          <w:szCs w:val="16"/>
        </w:rPr>
        <w:t xml:space="preserve">12  </w:t>
      </w:r>
      <w:r>
        <w:rPr>
          <w:sz w:val="16"/>
          <w:szCs w:val="16"/>
        </w:rPr>
        <w:t xml:space="preserve">Average-cost inventory uses LCNRV, and the loss goes to income. A is wrong: Replacement cost belongs to the LCM test for LIFO and retail. B is wrong: A loss must be recognized, not only disclosed.</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Freight-in is part of cost; it does not change selling prices. A is wrong: Freight-in has no retail amount. C is wrong: Freight-in is a cost, not a price.</w:t>
      </w:r>
    </w:p>
    <w:p>
      <w:pPr>
        <w:spacing w:after="18"/>
        <w:ind w:left="300" w:hanging="300"/>
      </w:pPr>
      <w:r>
        <w:rPr>
          <w:b/>
          <w:bCs/>
          <w:color w:val="8186EF"/>
          <w:sz w:val="16"/>
          <w:szCs w:val="16"/>
        </w:rPr>
        <w:t xml:space="preserve">19  </w:t>
      </w:r>
      <w:r>
        <w:rPr>
          <w:sz w:val="16"/>
          <w:szCs w:val="16"/>
        </w:rPr>
        <w:t xml:space="preserve">Gross profit rate = markup ÷ (1 + markup) = 0.25 ÷ 1.25. A is wrong: This uses the markup on cost as the margin on sales. B is wrong: This divides by (1 − markup) instead of (1 + markup).</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8.2 · Lower of cost or market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ceiling · floor · normal profit margin · replacement cost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144,000 − 120,000 = 24,000: Ending inventory at retail</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item-by-item basis · purchase commitment · replacement cost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150,000 − 6,000 = 144,000: Goods available at retail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replacement cost · floor · ceiling · write-down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24,000 × 0.60 = $14,400: Ending inventory at cost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90,000 ÷ 150,000 = 0.60: Conventional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Under LCM, market starts with replacement cost: the current cost to buy or make the item again. But market has two limits. It cannot be higher than a ceiling equal to NRV, and it cannot be lower than a floor equal to NRV minus a normal profit margin.</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“It cannot be higher than a ceiling equal to NRV, and it cannot be lower than a floor equal to NRV minus a normal profit margin. First, find market: take the middle value of replacement cost, the ceiling and the floor. Second, compare market with cost and take the lower.”</w:t>
      </w:r>
    </w:p>
    <w:p>
      <w:pPr>
        <w:spacing w:after="18"/>
        <w:ind w:left="300" w:hanging="300"/>
      </w:pPr>
      <w:r>
        <w:rPr>
          <w:b/>
          <w:bCs/>
          <w:color w:val="8186EF"/>
          <w:sz w:val="16"/>
          <w:szCs w:val="16"/>
        </w:rPr>
        <w:t xml:space="preserve">2  </w:t>
      </w:r>
      <w:r>
        <w:rPr>
          <w:sz w:val="16"/>
          <w:szCs w:val="16"/>
        </w:rPr>
        <w:t xml:space="preserve">The book writes: “The item-by-item basis is the most conservative. One more rule: if a company has a firm, non-cancellable purchase commitment at a price above the current market, it records the expected loss now, in the current period. Do not compare replacement cost directly with cost.”</w:t>
      </w:r>
    </w:p>
    <w:p>
      <w:pPr>
        <w:spacing w:after="18"/>
        <w:ind w:left="300" w:hanging="300"/>
      </w:pPr>
      <w:r>
        <w:rPr>
          <w:b/>
          <w:bCs/>
          <w:color w:val="8186EF"/>
          <w:sz w:val="16"/>
          <w:szCs w:val="16"/>
        </w:rPr>
        <w:t xml:space="preserve">3  </w:t>
      </w:r>
      <w:r>
        <w:rPr>
          <w:sz w:val="16"/>
          <w:szCs w:val="16"/>
        </w:rPr>
        <w:t xml:space="preserve">The book writes: “When replacement cost is below the floor, market is the floor. When it is above the ceiling, market is the ceiling. Read the basis in the question: item by item, by category or total. In French, dépréciation des stocks is an inventory write-down, not depreciation (amortissement).”</w:t>
      </w:r>
    </w:p>
    <w:p>
      <w:pPr>
        <w:spacing w:after="18"/>
        <w:ind w:left="300" w:hanging="300"/>
      </w:pPr>
      <w:r>
        <w:rPr>
          <w:b/>
          <w:bCs/>
          <w:color w:val="8186EF"/>
          <w:sz w:val="16"/>
          <w:szCs w:val="16"/>
        </w:rPr>
        <w:t xml:space="preserve">4  </w:t>
      </w:r>
      <w:r>
        <w:rPr>
          <w:sz w:val="16"/>
          <w:szCs w:val="16"/>
        </w:rPr>
        <w:t xml:space="preserve">The book pairs Goods available at retail with “150,000 − 6,000 = 144,000”.</w:t>
      </w:r>
    </w:p>
    <w:p>
      <w:pPr>
        <w:spacing w:after="18"/>
        <w:ind w:left="300" w:hanging="300"/>
      </w:pPr>
      <w:r>
        <w:rPr>
          <w:b/>
          <w:bCs/>
          <w:color w:val="8186EF"/>
          <w:sz w:val="16"/>
          <w:szCs w:val="16"/>
        </w:rPr>
        <w:t xml:space="preserve">5  </w:t>
      </w:r>
      <w:r>
        <w:rPr>
          <w:sz w:val="16"/>
          <w:szCs w:val="16"/>
        </w:rPr>
        <w:t xml:space="preserve">The book’s own table gives 150,000 − 6,000 = 144,000 as the answer of Goods available at retail.</w:t>
      </w:r>
    </w:p>
    <w:p>
      <w:pPr>
        <w:spacing w:after="18"/>
        <w:ind w:left="300" w:hanging="300"/>
      </w:pPr>
      <w:r>
        <w:rPr>
          <w:b/>
          <w:bCs/>
          <w:color w:val="8186EF"/>
          <w:sz w:val="16"/>
          <w:szCs w:val="16"/>
        </w:rPr>
        <w:t xml:space="preserve">6  </w:t>
      </w:r>
      <w:r>
        <w:rPr>
          <w:sz w:val="16"/>
          <w:szCs w:val="16"/>
        </w:rPr>
        <w:t xml:space="preserve">The book’s own table gives 144,000 − 120,000 = 24,000 as the answer of Ending inventory at retail.</w:t>
      </w:r>
    </w:p>
    <w:p>
      <w:pPr>
        <w:spacing w:after="18"/>
        <w:ind w:left="300" w:hanging="300"/>
      </w:pPr>
      <w:r>
        <w:rPr>
          <w:b/>
          <w:bCs/>
          <w:color w:val="8186EF"/>
          <w:sz w:val="16"/>
          <w:szCs w:val="16"/>
        </w:rPr>
        <w:t xml:space="preserve">7  </w:t>
      </w:r>
      <w:r>
        <w:rPr>
          <w:sz w:val="16"/>
          <w:szCs w:val="16"/>
        </w:rPr>
        <w:t xml:space="preserve">The book’s own table gives 90,000 ÷ 150,000 = 0.60 as the answer of Conventional ratio.</w:t>
      </w:r>
    </w:p>
    <w:p>
      <w:pPr>
        <w:spacing w:after="18"/>
        <w:ind w:left="300" w:hanging="300"/>
      </w:pPr>
      <w:r>
        <w:rPr>
          <w:b/>
          <w:bCs/>
          <w:color w:val="8186EF"/>
          <w:sz w:val="16"/>
          <w:szCs w:val="16"/>
        </w:rPr>
        <w:t xml:space="preserve">8  </w:t>
      </w:r>
      <w:r>
        <w:rPr>
          <w:sz w:val="16"/>
          <w:szCs w:val="16"/>
        </w:rPr>
        <w:t xml:space="preserve">The book’s own table gives 24,000 × 0.60 = $14,400 as the answer of Ending inventory at cost.</w:t>
      </w:r>
    </w:p>
    <w:p>
      <w:pPr>
        <w:spacing w:after="18"/>
        <w:ind w:left="300" w:hanging="300"/>
      </w:pPr>
      <w:r>
        <w:rPr>
          <w:b/>
          <w:bCs/>
          <w:color w:val="8186EF"/>
          <w:sz w:val="16"/>
          <w:szCs w:val="16"/>
        </w:rPr>
        <w:t xml:space="preserve">9  </w:t>
      </w:r>
      <w:r>
        <w:rPr>
          <w:sz w:val="16"/>
          <w:szCs w:val="16"/>
        </w:rPr>
        <w:t xml:space="preserve">The book pairs Goods available at retail with “150,000 − 6,000 = 144,000”.</w:t>
      </w:r>
    </w:p>
    <w:p>
      <w:pPr>
        <w:spacing w:after="18"/>
        <w:ind w:left="300" w:hanging="300"/>
      </w:pPr>
      <w:r>
        <w:rPr>
          <w:b/>
          <w:bCs/>
          <w:color w:val="8186EF"/>
          <w:sz w:val="16"/>
          <w:szCs w:val="16"/>
        </w:rPr>
        <w:t xml:space="preserve">10  </w:t>
      </w:r>
      <w:r>
        <w:rPr>
          <w:sz w:val="16"/>
          <w:szCs w:val="16"/>
        </w:rPr>
        <w:t xml:space="preserve">The book pairs Ending inventory at retail with “144,000 − 120,000 = 24,000”, not with “24,000 × 0.60 = $14,400”.</w:t>
      </w:r>
    </w:p>
    <w:p>
      <w:pPr>
        <w:spacing w:after="18"/>
        <w:ind w:left="300" w:hanging="300"/>
      </w:pPr>
      <w:r>
        <w:rPr>
          <w:b/>
          <w:bCs/>
          <w:color w:val="8186EF"/>
          <w:sz w:val="16"/>
          <w:szCs w:val="16"/>
        </w:rPr>
        <w:t xml:space="preserve">15  </w:t>
      </w:r>
      <w:r>
        <w:rPr>
          <w:sz w:val="16"/>
          <w:szCs w:val="16"/>
        </w:rPr>
        <w:t xml:space="preserve">It gives estimates, which are acceptable only where estimates are allowed. B is wrong: Annual statements need a physical count or a cost method. C is wrong: It can check a count but not replace it.</w:t>
      </w:r>
    </w:p>
    <w:p>
      <w:pPr>
        <w:spacing w:after="18"/>
        <w:ind w:left="300" w:hanging="300"/>
      </w:pPr>
      <w:r>
        <w:rPr>
          <w:b/>
          <w:bCs/>
          <w:color w:val="8186EF"/>
          <w:sz w:val="16"/>
          <w:szCs w:val="16"/>
        </w:rPr>
        <w:t xml:space="preserve">16  </w:t>
      </w:r>
      <w:r>
        <w:rPr>
          <w:sz w:val="16"/>
          <w:szCs w:val="16"/>
        </w:rPr>
        <w:t xml:space="preserve">Losses on firm, non-cancellable purchase commitments are recognized in the current period. A is wrong: The loss already exists at year-end. B is wrong: Disclosure alone is not enough for an expected loss.</w:t>
      </w:r>
    </w:p>
    <w:p>
      <w:pPr>
        <w:spacing w:after="18"/>
        <w:ind w:left="300" w:hanging="300"/>
      </w:pPr>
      <w:r>
        <w:rPr>
          <w:b/>
          <w:bCs/>
          <w:color w:val="8186EF"/>
          <w:sz w:val="16"/>
          <w:szCs w:val="16"/>
        </w:rPr>
        <w:t xml:space="preserve">17  </w:t>
      </w:r>
      <w:r>
        <w:rPr>
          <w:sz w:val="16"/>
          <w:szCs w:val="16"/>
        </w:rPr>
        <w:t xml:space="preserve">FIFO leaves the newest costs in ending inventory. A is wrong: FIFO gives higher taxes when prices rise. B is wrong: That is the LIFO argument.</w:t>
      </w:r>
    </w:p>
    <w:p>
      <w:pPr>
        <w:spacing w:after="18"/>
        <w:ind w:left="300" w:hanging="300"/>
      </w:pPr>
      <w:r>
        <w:rPr>
          <w:b/>
          <w:bCs/>
          <w:color w:val="8186EF"/>
          <w:sz w:val="16"/>
          <w:szCs w:val="16"/>
        </w:rPr>
        <w:t xml:space="preserve">18  </w:t>
      </w:r>
      <w:r>
        <w:rPr>
          <w:sz w:val="16"/>
          <w:szCs w:val="16"/>
        </w:rPr>
        <w:t xml:space="preserve">Old LIFO layers can stay in inventory for many years. A is wrong: That describes FIFO. B is wrong: LIFO lowers taxes when prices rise.</w:t>
      </w:r>
    </w:p>
    <w:p>
      <w:pPr>
        <w:spacing w:after="18"/>
        <w:ind w:left="300" w:hanging="300"/>
      </w:pPr>
      <w:r>
        <w:rPr>
          <w:b/>
          <w:bCs/>
          <w:color w:val="8186EF"/>
          <w:sz w:val="16"/>
          <w:szCs w:val="16"/>
        </w:rPr>
        <w:t xml:space="preserve">19  </w:t>
      </w:r>
      <w:r>
        <w:rPr>
          <w:sz w:val="16"/>
          <w:szCs w:val="16"/>
        </w:rPr>
        <w:t xml:space="preserve">It gives estimates, which are acceptable only where estimates are allowed. B is wrong: Annual statements need a physical count or a cost method. C is wrong: It can check a count but not replace it.</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Each oven is unique and valuable, so the actual cost of each unit can be tracked. A is wrong: LIFO suits interchangeable goods, not unique items. C is wrong: Averaging unique costs would distort the cost of each sale.</w:t>
      </w:r>
    </w:p>
    <w:p>
      <w:pPr>
        <w:spacing w:after="18"/>
        <w:ind w:left="300" w:hanging="300"/>
      </w:pPr>
      <w:r>
        <w:rPr>
          <w:b/>
          <w:bCs/>
          <w:color w:val="8186EF"/>
          <w:sz w:val="16"/>
          <w:szCs w:val="16"/>
        </w:rPr>
        <w:t xml:space="preserve">26  </w:t>
      </w:r>
      <w:r>
        <w:rPr>
          <w:sz w:val="16"/>
          <w:szCs w:val="16"/>
        </w:rPr>
        <w:t xml:space="preserve">The group cannot use LIFO under IFRS, so a non-LIFO method avoids two sets of records. B is wrong: LIFO would need to be reversed for the IFRS group statements. C is wrong: This adds complexity and still uses LIFO.</w:t>
      </w:r>
    </w:p>
    <w:p>
      <w:pPr>
        <w:spacing w:after="18"/>
        <w:ind w:left="300" w:hanging="300"/>
      </w:pPr>
      <w:r>
        <w:rPr>
          <w:b/>
          <w:bCs/>
          <w:color w:val="8186EF"/>
          <w:sz w:val="16"/>
          <w:szCs w:val="16"/>
        </w:rPr>
        <w:t xml:space="preserve">27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8.3 · The retail inventory method and the gross profit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retail inventory method · cost-to-retail ratio · markup · conventional retail method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deduct: Purchase returns, Purchase discounts</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cost-to-retail ratio · markup · conventional retail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 Net markups, Net markdowns, Net sales, Normal shrinkage and employee discounts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markup · shrinkage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Purchase returns: deduct · deduct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Purchase discounts: deduct · —</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Net markups: — · add (before the ratio)</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Net markdowns: — · deduct (after the conventional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Net sales: — · deduct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Normal shrinkage and employee discounts: — · deduct (after the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add: Freight-in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retail inventory method estimates ending inventory at cost from retail prices. It uses a cost-to-retail ratio: goods available at cost divided by goods available at retail. A markup raises the selling price above the original retail price. The conventional retail method includes net markups in the ratio but leaves out net markdowns.”</w:t>
      </w:r>
    </w:p>
    <w:p>
      <w:pPr>
        <w:spacing w:after="18"/>
        <w:ind w:left="300" w:hanging="300"/>
      </w:pPr>
      <w:r>
        <w:rPr>
          <w:b/>
          <w:bCs/>
          <w:color w:val="8186EF"/>
          <w:sz w:val="16"/>
          <w:szCs w:val="16"/>
        </w:rPr>
        <w:t xml:space="preserve">2  </w:t>
      </w:r>
      <w:r>
        <w:rPr>
          <w:sz w:val="16"/>
          <w:szCs w:val="16"/>
        </w:rPr>
        <w:t xml:space="preserve">The book writes: “It uses a cost-to-retail ratio: goods available at cost divided by goods available at retail. A markup raises the selling price above the original retail price. The conventional retail method includes net markups in the ratio but leaves out net markdowns.”</w:t>
      </w:r>
    </w:p>
    <w:p>
      <w:pPr>
        <w:spacing w:after="18"/>
        <w:ind w:left="300" w:hanging="300"/>
      </w:pPr>
      <w:r>
        <w:rPr>
          <w:b/>
          <w:bCs/>
          <w:color w:val="8186EF"/>
          <w:sz w:val="16"/>
          <w:szCs w:val="16"/>
        </w:rPr>
        <w:t xml:space="preserve">3  </w:t>
      </w:r>
      <w:r>
        <w:rPr>
          <w:sz w:val="16"/>
          <w:szCs w:val="16"/>
        </w:rPr>
        <w:t xml:space="preserve">The book writes: “For example, a markup of one half on cost is a gross profit rate of one third on sales. Conventional retail: markups IN the ratio, markdowns OUT. Freight-in goes in the cost column only; normal shrinkage is deducted from retail after the ratio.”</w:t>
      </w:r>
    </w:p>
    <w:p>
      <w:pPr>
        <w:spacing w:after="18"/>
        <w:ind w:left="300" w:hanging="300"/>
      </w:pPr>
      <w:r>
        <w:rPr>
          <w:b/>
          <w:bCs/>
          <w:color w:val="8186EF"/>
          <w:sz w:val="16"/>
          <w:szCs w:val="16"/>
        </w:rPr>
        <w:t xml:space="preserve">4  </w:t>
      </w:r>
      <w:r>
        <w:rPr>
          <w:sz w:val="16"/>
          <w:szCs w:val="16"/>
        </w:rPr>
        <w:t xml:space="preserve">The book pairs Freight-in with “add”.</w:t>
      </w:r>
    </w:p>
    <w:p>
      <w:pPr>
        <w:spacing w:after="18"/>
        <w:ind w:left="300" w:hanging="300"/>
      </w:pPr>
      <w:r>
        <w:rPr>
          <w:b/>
          <w:bCs/>
          <w:color w:val="8186EF"/>
          <w:sz w:val="16"/>
          <w:szCs w:val="16"/>
        </w:rPr>
        <w:t xml:space="preserve">5  </w:t>
      </w:r>
      <w:r>
        <w:rPr>
          <w:sz w:val="16"/>
          <w:szCs w:val="16"/>
        </w:rPr>
        <w:t xml:space="preserve">The book’s own table gives add as the cost column of Freight-in.</w:t>
      </w:r>
    </w:p>
    <w:p>
      <w:pPr>
        <w:spacing w:after="18"/>
        <w:ind w:left="300" w:hanging="300"/>
      </w:pPr>
      <w:r>
        <w:rPr>
          <w:b/>
          <w:bCs/>
          <w:color w:val="8186EF"/>
          <w:sz w:val="16"/>
          <w:szCs w:val="16"/>
        </w:rPr>
        <w:t xml:space="preserve">6  </w:t>
      </w:r>
      <w:r>
        <w:rPr>
          <w:sz w:val="16"/>
          <w:szCs w:val="16"/>
        </w:rPr>
        <w:t xml:space="preserve">The book’s own table gives deduct as the cost column of Purchase returns.</w:t>
      </w:r>
    </w:p>
    <w:p>
      <w:pPr>
        <w:spacing w:after="18"/>
        <w:ind w:left="300" w:hanging="300"/>
      </w:pPr>
      <w:r>
        <w:rPr>
          <w:b/>
          <w:bCs/>
          <w:color w:val="8186EF"/>
          <w:sz w:val="16"/>
          <w:szCs w:val="16"/>
        </w:rPr>
        <w:t xml:space="preserve">7  </w:t>
      </w:r>
      <w:r>
        <w:rPr>
          <w:sz w:val="16"/>
          <w:szCs w:val="16"/>
        </w:rPr>
        <w:t xml:space="preserve">The book’s own table gives deduct as the cost column of Purchase discounts.</w:t>
      </w:r>
    </w:p>
    <w:p>
      <w:pPr>
        <w:spacing w:after="18"/>
        <w:ind w:left="300" w:hanging="300"/>
      </w:pPr>
      <w:r>
        <w:rPr>
          <w:b/>
          <w:bCs/>
          <w:color w:val="8186EF"/>
          <w:sz w:val="16"/>
          <w:szCs w:val="16"/>
        </w:rPr>
        <w:t xml:space="preserve">8  </w:t>
      </w:r>
      <w:r>
        <w:rPr>
          <w:sz w:val="16"/>
          <w:szCs w:val="16"/>
        </w:rPr>
        <w:t xml:space="preserve">The book’s own table gives add (before the ratio) as the retail column of Net markups.</w:t>
      </w:r>
    </w:p>
    <w:p>
      <w:pPr>
        <w:spacing w:after="18"/>
        <w:ind w:left="300" w:hanging="300"/>
      </w:pPr>
      <w:r>
        <w:rPr>
          <w:b/>
          <w:bCs/>
          <w:color w:val="8186EF"/>
          <w:sz w:val="16"/>
          <w:szCs w:val="16"/>
        </w:rPr>
        <w:t xml:space="preserve">9  </w:t>
      </w:r>
      <w:r>
        <w:rPr>
          <w:sz w:val="16"/>
          <w:szCs w:val="16"/>
        </w:rPr>
        <w:t xml:space="preserve">The book pairs Purchase returns with “deduct”, not with “—”.</w:t>
      </w:r>
    </w:p>
    <w:p>
      <w:pPr>
        <w:spacing w:after="18"/>
        <w:ind w:left="300" w:hanging="300"/>
      </w:pPr>
      <w:r>
        <w:rPr>
          <w:b/>
          <w:bCs/>
          <w:color w:val="8186EF"/>
          <w:sz w:val="16"/>
          <w:szCs w:val="16"/>
        </w:rPr>
        <w:t xml:space="preserve">19  </w:t>
      </w:r>
      <w:r>
        <w:rPr>
          <w:sz w:val="16"/>
          <w:szCs w:val="16"/>
        </w:rPr>
        <w:t xml:space="preserve">FIFO gives the same result under both systems. A is wrong: Only LIFO and average results can change with the system. B is wrong: Only LIFO and average results can change with the system.</w:t>
      </w:r>
    </w:p>
    <w:p>
      <w:pPr>
        <w:spacing w:after="18"/>
        <w:ind w:left="300" w:hanging="300"/>
      </w:pPr>
      <w:r>
        <w:rPr>
          <w:b/>
          <w:bCs/>
          <w:color w:val="8186EF"/>
          <w:sz w:val="16"/>
          <w:szCs w:val="16"/>
        </w:rPr>
        <w:t xml:space="preserve">20  </w:t>
      </w:r>
      <w:r>
        <w:rPr>
          <w:sz w:val="16"/>
          <w:szCs w:val="16"/>
        </w:rPr>
        <w:t xml:space="preserve">Higher ending inventory means lower cost of goods sold. B is wrong: This reverses the direction. C is wrong: Ending inventory directly changes cost of goods sold.</w:t>
      </w:r>
    </w:p>
    <w:p>
      <w:pPr>
        <w:spacing w:after="18"/>
        <w:ind w:left="300" w:hanging="300"/>
      </w:pPr>
      <w:r>
        <w:rPr>
          <w:b/>
          <w:bCs/>
          <w:color w:val="8186EF"/>
          <w:sz w:val="16"/>
          <w:szCs w:val="16"/>
        </w:rPr>
        <w:t xml:space="preserve">21  </w:t>
      </w:r>
      <w:r>
        <w:rPr>
          <w:sz w:val="16"/>
          <w:szCs w:val="16"/>
        </w:rPr>
        <w:t xml:space="preserve">IAS 2 requires the reversal, limited to the original write-down. A is wrong: IAS 2 does not allow LIFO. C is wrong: IAS 2 has no LCM test; all inventory uses LCNRV.</w:t>
      </w:r>
    </w:p>
    <w:p>
      <w:pPr>
        <w:spacing w:after="18"/>
        <w:ind w:left="300" w:hanging="300"/>
      </w:pPr>
      <w:r>
        <w:rPr>
          <w:b/>
          <w:bCs/>
          <w:color w:val="8186EF"/>
          <w:sz w:val="16"/>
          <w:szCs w:val="16"/>
        </w:rPr>
        <w:t xml:space="preserve">22  </w:t>
      </w:r>
      <w:r>
        <w:rPr>
          <w:sz w:val="16"/>
          <w:szCs w:val="16"/>
        </w:rPr>
        <w:t xml:space="preserve">FIFO gives the same result under both systems. A is wrong: Only LIFO and average results can change with the system. B is wrong: Only LIFO and average results can change with the system.</w:t>
      </w:r>
    </w:p>
    <w:p>
      <w:pPr>
        <w:spacing w:after="18"/>
        <w:ind w:left="300" w:hanging="300"/>
      </w:pPr>
      <w:r>
        <w:rPr>
          <w:b/>
          <w:bCs/>
          <w:color w:val="8186EF"/>
          <w:sz w:val="16"/>
          <w:szCs w:val="16"/>
        </w:rPr>
        <w:t xml:space="preserve">23  </w:t>
      </w:r>
      <w:r>
        <w:rPr>
          <w:sz w:val="16"/>
          <w:szCs w:val="16"/>
        </w:rPr>
        <w:t xml:space="preserve">CMA questions use exact terms, and one word can change the answer.</w:t>
      </w:r>
    </w:p>
    <w:p>
      <w:pPr>
        <w:spacing w:after="18"/>
        <w:ind w:left="300" w:hanging="300"/>
      </w:pPr>
      <w:r>
        <w:rPr>
          <w:b/>
          <w:bCs/>
          <w:color w:val="8186EF"/>
          <w:sz w:val="16"/>
          <w:szCs w:val="16"/>
        </w:rPr>
        <w:t xml:space="preserve">24  </w:t>
      </w:r>
      <w:r>
        <w:rPr>
          <w:sz w:val="16"/>
          <w:szCs w:val="16"/>
        </w:rPr>
        <w:t xml:space="preserve">The term tables in each section are the book’s own.</w:t>
      </w:r>
    </w:p>
    <w:p>
      <w:pPr>
        <w:spacing w:after="18"/>
        <w:ind w:left="300" w:hanging="300"/>
      </w:pPr>
      <w:r>
        <w:rPr>
          <w:b/>
          <w:bCs/>
          <w:color w:val="8186EF"/>
          <w:sz w:val="16"/>
          <w:szCs w:val="16"/>
        </w:rPr>
        <w:t xml:space="preserve">25  </w:t>
      </w:r>
      <w:r>
        <w:rPr>
          <w:sz w:val="16"/>
          <w:szCs w:val="16"/>
        </w:rPr>
        <w:t xml:space="preserve">The exam marks the term, so the English word is the answer.</w:t>
      </w:r>
    </w:p>
    <w:p>
      <w:pPr>
        <w:spacing w:after="18"/>
        <w:ind w:left="300" w:hanging="300"/>
      </w:pPr>
      <w:r>
        <w:rPr>
          <w:b/>
          <w:bCs/>
          <w:color w:val="8186EF"/>
          <w:sz w:val="16"/>
          <w:szCs w:val="16"/>
        </w:rPr>
        <w:t xml:space="preserve">26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8.4 · Advantages and disadvantages of the methods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identification · strengths · manipulate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Cost of records: Moderate · Higher (layers, conformity) · Low · High</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identification · management · out-of-date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Between the two: Balance sheet (inventory), Taxes when prices rise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realistic · includes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Low: Risk of manipulation, Cost of records</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Smooths price changes: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Yes: Allowed under IFRS?</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Income statement: Includes holding gains when prices rise · Matches current costs with revenues · Smooths price changes · Exact matching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Taxes when prices rise: Highest · Lowest (tax deferral) · Between the two · Depends on items sold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Allowed under IFRS?: Yes · No · Yes · Yes (required for unique items)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Risk of manipulation: Low · Year-end purchases; liquidations · Low · High for identical items</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No method is best in every situation. Each one is strong on some goals and weak on others. Figure F08-08 compares them. Read it with two questions in mind: which statement does the method make more useful, and what does it cost the company?</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“Each one is strong on some goals and weak on others. The weighted average and specific identification have their own strengths. The weighted average is simple, smooths price changes and is hard to manipulate, but its results are neither fully current on the balance sheet nor on the income statement.”</w:t>
      </w:r>
    </w:p>
    <w:p>
      <w:pPr>
        <w:spacing w:after="18"/>
        <w:ind w:left="300" w:hanging="300"/>
      </w:pPr>
      <w:r>
        <w:rPr>
          <w:b/>
          <w:bCs/>
          <w:color w:val="8186EF"/>
          <w:sz w:val="16"/>
          <w:szCs w:val="16"/>
        </w:rPr>
        <w:t xml:space="preserve">2  </w:t>
      </w:r>
      <w:r>
        <w:rPr>
          <w:sz w:val="16"/>
          <w:szCs w:val="16"/>
        </w:rPr>
        <w:t xml:space="preserve">The book writes: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w:t>
      </w:r>
    </w:p>
    <w:p>
      <w:pPr>
        <w:spacing w:after="18"/>
        <w:ind w:left="300" w:hanging="300"/>
      </w:pPr>
      <w:r>
        <w:rPr>
          <w:b/>
          <w:bCs/>
          <w:color w:val="8186EF"/>
          <w:sz w:val="16"/>
          <w:szCs w:val="16"/>
        </w:rPr>
        <w:t xml:space="preserve">3  </w:t>
      </w:r>
      <w:r>
        <w:rPr>
          <w:sz w:val="16"/>
          <w:szCs w:val="16"/>
        </w:rPr>
        <w:t xml:space="preserve">The book writes: “FIFO gives a realistic balance sheet, but its income includes holding gains. It matches current costs with current revenues. It shows inventory close to current cost.”</w:t>
      </w:r>
    </w:p>
    <w:p>
      <w:pPr>
        <w:spacing w:after="18"/>
        <w:ind w:left="300" w:hanging="300"/>
      </w:pPr>
      <w:r>
        <w:rPr>
          <w:b/>
          <w:bCs/>
          <w:color w:val="8186EF"/>
          <w:sz w:val="16"/>
          <w:szCs w:val="16"/>
        </w:rPr>
        <w:t xml:space="preserve">4  </w:t>
      </w:r>
      <w:r>
        <w:rPr>
          <w:sz w:val="16"/>
          <w:szCs w:val="16"/>
        </w:rPr>
        <w:t xml:space="preserve">The book pairs Balance sheet (inventory) with “Close to current cost”.</w:t>
      </w:r>
    </w:p>
    <w:p>
      <w:pPr>
        <w:spacing w:after="18"/>
        <w:ind w:left="300" w:hanging="300"/>
      </w:pPr>
      <w:r>
        <w:rPr>
          <w:b/>
          <w:bCs/>
          <w:color w:val="8186EF"/>
          <w:sz w:val="16"/>
          <w:szCs w:val="16"/>
        </w:rPr>
        <w:t xml:space="preserve">5  </w:t>
      </w:r>
      <w:r>
        <w:rPr>
          <w:sz w:val="16"/>
          <w:szCs w:val="16"/>
        </w:rPr>
        <w:t xml:space="preserve">The book’s own table gives Close to current cost as the FIFO of Balance sheet (inventory).</w:t>
      </w:r>
    </w:p>
    <w:p>
      <w:pPr>
        <w:spacing w:after="18"/>
        <w:ind w:left="300" w:hanging="300"/>
      </w:pPr>
      <w:r>
        <w:rPr>
          <w:b/>
          <w:bCs/>
          <w:color w:val="8186EF"/>
          <w:sz w:val="16"/>
          <w:szCs w:val="16"/>
        </w:rPr>
        <w:t xml:space="preserve">6  </w:t>
      </w:r>
      <w:r>
        <w:rPr>
          <w:sz w:val="16"/>
          <w:szCs w:val="16"/>
        </w:rPr>
        <w:t xml:space="preserve">The book’s own table gives Includes holding gains when prices rise as the FIFO of Income statement.</w:t>
      </w:r>
    </w:p>
    <w:p>
      <w:pPr>
        <w:spacing w:after="18"/>
        <w:ind w:left="300" w:hanging="300"/>
      </w:pPr>
      <w:r>
        <w:rPr>
          <w:b/>
          <w:bCs/>
          <w:color w:val="8186EF"/>
          <w:sz w:val="16"/>
          <w:szCs w:val="16"/>
        </w:rPr>
        <w:t xml:space="preserve">7  </w:t>
      </w:r>
      <w:r>
        <w:rPr>
          <w:sz w:val="16"/>
          <w:szCs w:val="16"/>
        </w:rPr>
        <w:t xml:space="preserve">The book’s own table gives Highest as the FIFO of Taxes when prices rise.</w:t>
      </w:r>
    </w:p>
    <w:p>
      <w:pPr>
        <w:spacing w:after="18"/>
        <w:ind w:left="300" w:hanging="300"/>
      </w:pPr>
      <w:r>
        <w:rPr>
          <w:b/>
          <w:bCs/>
          <w:color w:val="8186EF"/>
          <w:sz w:val="16"/>
          <w:szCs w:val="16"/>
        </w:rPr>
        <w:t xml:space="preserve">8  </w:t>
      </w:r>
      <w:r>
        <w:rPr>
          <w:sz w:val="16"/>
          <w:szCs w:val="16"/>
        </w:rPr>
        <w:t xml:space="preserve">The book’s own table gives Yes as the FIFO of Allowed under IFRS?.</w:t>
      </w:r>
    </w:p>
    <w:p>
      <w:pPr>
        <w:spacing w:after="18"/>
        <w:ind w:left="300" w:hanging="300"/>
      </w:pPr>
      <w:r>
        <w:rPr>
          <w:b/>
          <w:bCs/>
          <w:color w:val="8186EF"/>
          <w:sz w:val="16"/>
          <w:szCs w:val="16"/>
        </w:rPr>
        <w:t xml:space="preserve">9  </w:t>
      </w:r>
      <w:r>
        <w:rPr>
          <w:sz w:val="16"/>
          <w:szCs w:val="16"/>
        </w:rPr>
        <w:t xml:space="preserve">The book pairs Balance sheet (inventory) with “Actual cost of each item”.</w:t>
      </w:r>
    </w:p>
    <w:p>
      <w:pPr>
        <w:spacing w:after="18"/>
        <w:ind w:left="300" w:hanging="300"/>
      </w:pPr>
      <w:r>
        <w:rPr>
          <w:b/>
          <w:bCs/>
          <w:color w:val="8186EF"/>
          <w:sz w:val="16"/>
          <w:szCs w:val="16"/>
        </w:rPr>
        <w:t xml:space="preserve">10  </w:t>
      </w:r>
      <w:r>
        <w:rPr>
          <w:sz w:val="16"/>
          <w:szCs w:val="16"/>
        </w:rPr>
        <w:t xml:space="preserve">The book pairs Income statement with “Exact matching”, not with “High for identical items”.</w:t>
      </w:r>
    </w:p>
    <w:p>
      <w:pPr>
        <w:spacing w:after="18"/>
        <w:ind w:left="300" w:hanging="300"/>
      </w:pPr>
      <w:r>
        <w:rPr>
          <w:b/>
          <w:bCs/>
          <w:color w:val="8186EF"/>
          <w:sz w:val="16"/>
          <w:szCs w:val="16"/>
        </w:rPr>
        <w:t xml:space="preserve">20  </w:t>
      </w:r>
      <w:r>
        <w:rPr>
          <w:sz w:val="16"/>
          <w:szCs w:val="16"/>
        </w:rPr>
        <w:t xml:space="preserve">Compare your sentence with the book’s wording in the key.</w:t>
      </w:r>
    </w:p>
    <w:p>
      <w:pPr>
        <w:spacing w:after="18"/>
        <w:ind w:left="300" w:hanging="300"/>
      </w:pPr>
      <w:r>
        <w:rPr>
          <w:b/>
          <w:bCs/>
          <w:color w:val="8186EF"/>
          <w:sz w:val="16"/>
          <w:szCs w:val="16"/>
        </w:rPr>
        <w:t xml:space="preserve">21  </w:t>
      </w:r>
      <w:r>
        <w:rPr>
          <w:sz w:val="16"/>
          <w:szCs w:val="16"/>
        </w:rPr>
        <w:t xml:space="preserve">Every cycle settles one rule and shows where it comes from.</w:t>
      </w:r>
    </w:p>
    <w:p>
      <w:pPr>
        <w:spacing w:after="18"/>
        <w:ind w:left="300" w:hanging="300"/>
      </w:pPr>
      <w:r>
        <w:rPr>
          <w:b/>
          <w:bCs/>
          <w:color w:val="8186EF"/>
          <w:sz w:val="16"/>
          <w:szCs w:val="16"/>
        </w:rPr>
        <w:t xml:space="preserve">22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The term tables in each section are the book’s own.</w:t>
      </w:r>
    </w:p>
    <w:p>
      <w:pPr>
        <w:spacing w:after="18"/>
        <w:ind w:left="300" w:hanging="300"/>
      </w:pPr>
      <w:r>
        <w:rPr>
          <w:b/>
          <w:bCs/>
          <w:color w:val="8186EF"/>
          <w:sz w:val="16"/>
          <w:szCs w:val="16"/>
        </w:rPr>
        <w:t xml:space="preserve">24  </w:t>
      </w:r>
      <w:r>
        <w:rPr>
          <w:sz w:val="16"/>
          <w:szCs w:val="16"/>
        </w:rPr>
        <w:t xml:space="preserve">The exam marks the term, so the English word is the answer.</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8.5 · Recommending a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recommend · recommending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perishable · oldest-first · conformity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priority · case-based · recommendation</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 Level C question may give you a set of facts and ask you to recommend a method. Use Figure F08-09 as a decision path, then support your answer with the facts in the question.</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Level C question may give you a set of facts and ask you to recommend a method. Decision path for recommending an inventory cost flow method. Always check the facts that can rule a method out.”</w:t>
      </w:r>
    </w:p>
    <w:p>
      <w:pPr>
        <w:spacing w:after="18"/>
        <w:ind w:left="300" w:hanging="300"/>
      </w:pPr>
      <w:r>
        <w:rPr>
          <w:b/>
          <w:bCs/>
          <w:color w:val="8186EF"/>
          <w:sz w:val="16"/>
          <w:szCs w:val="16"/>
        </w:rPr>
        <w:t xml:space="preserve">2  </w:t>
      </w:r>
      <w:r>
        <w:rPr>
          <w:sz w:val="16"/>
          <w:szCs w:val="16"/>
        </w:rPr>
        <w:t xml:space="preserve">The book writes: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w:t>
      </w:r>
    </w:p>
    <w:p>
      <w:pPr>
        <w:spacing w:after="18"/>
        <w:ind w:left="300" w:hanging="300"/>
      </w:pPr>
      <w:r>
        <w:rPr>
          <w:b/>
          <w:bCs/>
          <w:color w:val="8186EF"/>
          <w:sz w:val="16"/>
          <w:szCs w:val="16"/>
        </w:rPr>
        <w:t xml:space="preserve">3  </w:t>
      </w:r>
      <w:r>
        <w:rPr>
          <w:sz w:val="16"/>
          <w:szCs w:val="16"/>
        </w:rPr>
        <w:t xml:space="preserve">The book writes: “The answer depends on the stated priority, and a good exam answer names it. In a case-based question, a recommendation earns credit only if it follows from the facts given. Check IFRS, taxes, price trends, the physical flow and the cost of records before you choose.”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“Which test applies?” as section 8.1.</w:t>
      </w:r>
    </w:p>
    <w:p>
      <w:pPr>
        <w:spacing w:after="18"/>
        <w:ind w:left="300" w:hanging="300"/>
      </w:pPr>
      <w:r>
        <w:rPr>
          <w:b/>
          <w:bCs/>
          <w:color w:val="8186EF"/>
          <w:sz w:val="16"/>
          <w:szCs w:val="16"/>
        </w:rPr>
        <w:t xml:space="preserve">6  </w:t>
      </w:r>
      <w:r>
        <w:rPr>
          <w:sz w:val="16"/>
          <w:szCs w:val="16"/>
        </w:rPr>
        <w:t xml:space="preserve">The book numbers “Lower of cost or market” as section 8.2.</w:t>
      </w:r>
    </w:p>
    <w:p>
      <w:pPr>
        <w:spacing w:after="18"/>
        <w:ind w:left="300" w:hanging="300"/>
      </w:pPr>
      <w:r>
        <w:rPr>
          <w:b/>
          <w:bCs/>
          <w:color w:val="8186EF"/>
          <w:sz w:val="16"/>
          <w:szCs w:val="16"/>
        </w:rPr>
        <w:t xml:space="preserve">7  </w:t>
      </w:r>
      <w:r>
        <w:rPr>
          <w:sz w:val="16"/>
          <w:szCs w:val="16"/>
        </w:rPr>
        <w:t xml:space="preserve">The book numbers “The retail inventory method and the gross profit method” as section 8.3.</w:t>
      </w:r>
    </w:p>
    <w:p>
      <w:pPr>
        <w:spacing w:after="18"/>
        <w:ind w:left="300" w:hanging="300"/>
      </w:pPr>
      <w:r>
        <w:rPr>
          <w:b/>
          <w:bCs/>
          <w:color w:val="8186EF"/>
          <w:sz w:val="16"/>
          <w:szCs w:val="16"/>
        </w:rPr>
        <w:t xml:space="preserve">8  </w:t>
      </w:r>
      <w:r>
        <w:rPr>
          <w:sz w:val="16"/>
          <w:szCs w:val="16"/>
        </w:rPr>
        <w:t xml:space="preserve">The book numbers “Advantages and disadvantages of the methods” as section 8.4.</w:t>
      </w:r>
    </w:p>
    <w:p>
      <w:pPr>
        <w:spacing w:after="18"/>
        <w:ind w:left="300" w:hanging="300"/>
      </w:pPr>
      <w:r>
        <w:rPr>
          <w:b/>
          <w:bCs/>
          <w:color w:val="8186EF"/>
          <w:sz w:val="16"/>
          <w:szCs w:val="16"/>
        </w:rPr>
        <w:t xml:space="preserve">9  </w:t>
      </w:r>
      <w:r>
        <w:rPr>
          <w:sz w:val="16"/>
          <w:szCs w:val="16"/>
        </w:rPr>
        <w:t xml:space="preserve">Compare your sentence with the book’s wording in the key.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pairs Pomegranate molasses with “LCM (market with ceiling and floor)”.</w:t>
      </w:r>
    </w:p>
    <w:p>
      <w:pPr>
        <w:spacing w:after="18"/>
        <w:ind w:left="300" w:hanging="300"/>
      </w:pPr>
      <w:r>
        <w:rPr>
          <w:b/>
          <w:bCs/>
          <w:color w:val="8186EF"/>
          <w:sz w:val="16"/>
          <w:szCs w:val="16"/>
        </w:rPr>
        <w:t xml:space="preserve">13  </w:t>
      </w:r>
      <w:r>
        <w:rPr>
          <w:sz w:val="16"/>
          <w:szCs w:val="16"/>
        </w:rPr>
        <w:t xml:space="preserve">The book’s own table pairs Rose water with “LCM (market with ceiling and floor)”.</w:t>
      </w:r>
    </w:p>
    <w:p>
      <w:pPr>
        <w:spacing w:after="18"/>
        <w:ind w:left="300" w:hanging="300"/>
      </w:pPr>
      <w:r>
        <w:rPr>
          <w:b/>
          <w:bCs/>
          <w:color w:val="8186EF"/>
          <w:sz w:val="16"/>
          <w:szCs w:val="16"/>
        </w:rPr>
        <w:t xml:space="preserve">14  </w:t>
      </w:r>
      <w:r>
        <w:rPr>
          <w:sz w:val="16"/>
          <w:szCs w:val="16"/>
        </w:rPr>
        <w:t xml:space="preserve">The book’s own table pairs Za'atar mix with “LCNRV”.</w:t>
      </w:r>
    </w:p>
    <w:p>
      <w:pPr>
        <w:spacing w:after="18"/>
        <w:ind w:left="300" w:hanging="300"/>
      </w:pPr>
      <w:r>
        <w:rPr>
          <w:b/>
          <w:bCs/>
          <w:color w:val="8186EF"/>
          <w:sz w:val="16"/>
          <w:szCs w:val="16"/>
        </w:rPr>
        <w:t xml:space="preserve">15  </w:t>
      </w:r>
      <w:r>
        <w:rPr>
          <w:sz w:val="16"/>
          <w:szCs w:val="16"/>
        </w:rPr>
        <w:t xml:space="preserve">The exam marks the term, so the English word is the answer.</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8.6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write-down · replacement cost · ceiling · floor · normal profit margin</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item-by-item basis · purchase commitment · replacement cost · ceiling · floor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markup · shrinkage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8.1: Which test applies?. 8.2: Lower of cost or market. 8.3: The retail inventory method and the gross profit method. 8.4: Advantages and disadvantages of the methods. 8.5: Recommending a method.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“GAAP never reverses an annual write-down. SC8-1 Orontes measures olive oil using FIFO. Under LCM, market starts with replacement cost: the current cost to buy or make the item again. It cannot be higher than a ceiling equal to NRV, and it cannot be lower than a floor equal to NRV minus a normal profit margin.”</w:t>
      </w:r>
    </w:p>
    <w:p>
      <w:pPr>
        <w:spacing w:after="18"/>
        <w:ind w:left="300" w:hanging="300"/>
      </w:pPr>
      <w:r>
        <w:rPr>
          <w:b/>
          <w:bCs/>
          <w:color w:val="8186EF"/>
          <w:sz w:val="16"/>
          <w:szCs w:val="16"/>
        </w:rPr>
        <w:t xml:space="preserve">2  </w:t>
      </w:r>
      <w:r>
        <w:rPr>
          <w:sz w:val="16"/>
          <w:szCs w:val="16"/>
        </w:rPr>
        <w:t xml:space="preserve">The book writes: “The item-by-item basis is the most conservative. One more rule: if a company has a firm, non-cancellable purchase commitment at a price above the current market, it records the expected loss now, in the current period. Do not compare replacement cost directly with cost. First limit it by the ceiling and the floor.”</w:t>
      </w:r>
    </w:p>
    <w:p>
      <w:pPr>
        <w:spacing w:after="18"/>
        <w:ind w:left="300" w:hanging="300"/>
      </w:pPr>
      <w:r>
        <w:rPr>
          <w:b/>
          <w:bCs/>
          <w:color w:val="8186EF"/>
          <w:sz w:val="16"/>
          <w:szCs w:val="16"/>
        </w:rPr>
        <w:t xml:space="preserve">3  </w:t>
      </w:r>
      <w:r>
        <w:rPr>
          <w:sz w:val="16"/>
          <w:szCs w:val="16"/>
        </w:rPr>
        <w:t xml:space="preserve">The book writes: “For example, a markup of one half on cost is a gross profit rate of one third on sales. Conventional retail: markups IN the ratio, markdowns OUT. Freight-in goes in the cost column only; normal shrinkage is deducted from retail after the ratio.”</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“Which test applies?” as section 8.1.</w:t>
      </w:r>
    </w:p>
    <w:p>
      <w:pPr>
        <w:spacing w:after="18"/>
        <w:ind w:left="300" w:hanging="300"/>
      </w:pPr>
      <w:r>
        <w:rPr>
          <w:b/>
          <w:bCs/>
          <w:color w:val="8186EF"/>
          <w:sz w:val="16"/>
          <w:szCs w:val="16"/>
        </w:rPr>
        <w:t xml:space="preserve">6  </w:t>
      </w:r>
      <w:r>
        <w:rPr>
          <w:sz w:val="16"/>
          <w:szCs w:val="16"/>
        </w:rPr>
        <w:t xml:space="preserve">The book numbers “Lower of cost or market” as section 8.2.</w:t>
      </w:r>
    </w:p>
    <w:p>
      <w:pPr>
        <w:spacing w:after="18"/>
        <w:ind w:left="300" w:hanging="300"/>
      </w:pPr>
      <w:r>
        <w:rPr>
          <w:b/>
          <w:bCs/>
          <w:color w:val="8186EF"/>
          <w:sz w:val="16"/>
          <w:szCs w:val="16"/>
        </w:rPr>
        <w:t xml:space="preserve">7  </w:t>
      </w:r>
      <w:r>
        <w:rPr>
          <w:sz w:val="16"/>
          <w:szCs w:val="16"/>
        </w:rPr>
        <w:t xml:space="preserve">The book numbers “The retail inventory method and the gross profit method” as section 8.3.</w:t>
      </w:r>
    </w:p>
    <w:p>
      <w:pPr>
        <w:spacing w:after="18"/>
        <w:ind w:left="300" w:hanging="300"/>
      </w:pPr>
      <w:r>
        <w:rPr>
          <w:b/>
          <w:bCs/>
          <w:color w:val="8186EF"/>
          <w:sz w:val="16"/>
          <w:szCs w:val="16"/>
        </w:rPr>
        <w:t xml:space="preserve">13  </w:t>
      </w:r>
      <w:r>
        <w:rPr>
          <w:sz w:val="16"/>
          <w:szCs w:val="16"/>
        </w:rPr>
        <w:t xml:space="preserve">Goods available − net sales × (1 − gross profit rate). A is wrong: This treats the rate as a markup on cost instead of a margin on sales. B is wrong: This is the fire loss after salvage, not the inventory at the fire date.</w:t>
      </w:r>
    </w:p>
    <w:p>
      <w:pPr>
        <w:spacing w:after="18"/>
        <w:ind w:left="300" w:hanging="300"/>
      </w:pPr>
      <w:r>
        <w:rPr>
          <w:b/>
          <w:bCs/>
          <w:color w:val="8186EF"/>
          <w:sz w:val="16"/>
          <w:szCs w:val="16"/>
        </w:rPr>
        <w:t xml:space="preserve">14  </w:t>
      </w:r>
      <w:r>
        <w:rPr>
          <w:sz w:val="16"/>
          <w:szCs w:val="16"/>
        </w:rPr>
        <w:t xml:space="preserve">LIFO puts the newest costs into cost of goods sold. B is wrong: That is a FIFO advantage; LIFO inventory holds old costs. C is wrong: IFRS prohibits LIFO.</w:t>
      </w:r>
    </w:p>
    <w:p>
      <w:pPr>
        <w:spacing w:after="18"/>
        <w:ind w:left="300" w:hanging="300"/>
      </w:pPr>
      <w:r>
        <w:rPr>
          <w:b/>
          <w:bCs/>
          <w:color w:val="8186EF"/>
          <w:sz w:val="16"/>
          <w:szCs w:val="16"/>
        </w:rPr>
        <w:t xml:space="preserve">15  </w:t>
      </w:r>
      <w:r>
        <w:rPr>
          <w:sz w:val="16"/>
          <w:szCs w:val="16"/>
        </w:rPr>
        <w:t xml:space="preserve">Identical units with different costs let management pick the cost that gives the income it wants. A is wrong: Specific identification is allowed. B is wrong: It can raise or lower income, depending on the units chosen.</w:t>
      </w:r>
    </w:p>
    <w:p>
      <w:pPr>
        <w:spacing w:after="18"/>
        <w:ind w:left="300" w:hanging="300"/>
      </w:pPr>
      <w:r>
        <w:rPr>
          <w:b/>
          <w:bCs/>
          <w:color w:val="8186EF"/>
          <w:sz w:val="16"/>
          <w:szCs w:val="16"/>
        </w:rPr>
        <w:t xml:space="preserve">16  </w:t>
      </w:r>
      <w:r>
        <w:rPr>
          <w:sz w:val="16"/>
          <w:szCs w:val="16"/>
        </w:rPr>
        <w:t xml:space="preserve">IFRS rules out LIFO, whatever the tax goal. A is wrong: LIFO is prohibited under IAS 2. C is wrong: A retailer's items are interchangeable.</w:t>
      </w:r>
    </w:p>
    <w:p>
      <w:pPr>
        <w:spacing w:after="18"/>
        <w:ind w:left="300" w:hanging="300"/>
      </w:pPr>
      <w:r>
        <w:rPr>
          <w:b/>
          <w:bCs/>
          <w:color w:val="8186EF"/>
          <w:sz w:val="16"/>
          <w:szCs w:val="16"/>
        </w:rPr>
        <w:t xml:space="preserve">17  </w:t>
      </w:r>
      <w:r>
        <w:rPr>
          <w:sz w:val="16"/>
          <w:szCs w:val="16"/>
        </w:rPr>
        <w:t xml:space="preserve">FIFO, average cost and specific identification use LCNRV. A is wrong: LCM applies only to LIFO and the retail inventory method. B is wrong: Replacement cost is only the starting point for market under LCM.</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19  </w:t>
      </w:r>
      <w:r>
        <w:rPr>
          <w:sz w:val="16"/>
          <w:szCs w:val="16"/>
        </w:rPr>
        <w:t xml:space="preserve">The book states item C8-1 in those words.</w:t>
      </w:r>
    </w:p>
    <w:p>
      <w:pPr>
        <w:spacing w:after="18"/>
        <w:ind w:left="300" w:hanging="300"/>
      </w:pPr>
      <w:r>
        <w:rPr>
          <w:b/>
          <w:bCs/>
          <w:color w:val="8186EF"/>
          <w:sz w:val="16"/>
          <w:szCs w:val="16"/>
        </w:rPr>
        <w:t xml:space="preserve">20  </w:t>
      </w:r>
      <w:r>
        <w:rPr>
          <w:sz w:val="16"/>
          <w:szCs w:val="16"/>
        </w:rPr>
        <w:t xml:space="preserve">The book states item C8-2 in those words.</w:t>
      </w:r>
    </w:p>
    <w:p>
      <w:pPr>
        <w:spacing w:after="18"/>
        <w:ind w:left="300" w:hanging="300"/>
      </w:pPr>
      <w:r>
        <w:rPr>
          <w:b/>
          <w:bCs/>
          <w:color w:val="8186EF"/>
          <w:sz w:val="16"/>
          <w:szCs w:val="16"/>
        </w:rPr>
        <w:t xml:space="preserve">21  </w:t>
      </w:r>
      <w:r>
        <w:rPr>
          <w:sz w:val="16"/>
          <w:szCs w:val="16"/>
        </w:rPr>
        <w:t xml:space="preserve">The book states item C8-3 in those words.</w:t>
      </w:r>
    </w:p>
    <w:p>
      <w:pPr>
        <w:spacing w:after="18"/>
        <w:ind w:left="300" w:hanging="300"/>
      </w:pPr>
      <w:r>
        <w:rPr>
          <w:b/>
          <w:bCs/>
          <w:color w:val="8186EF"/>
          <w:sz w:val="16"/>
          <w:szCs w:val="16"/>
        </w:rPr>
        <w:t xml:space="preserve">22  </w:t>
      </w:r>
      <w:r>
        <w:rPr>
          <w:sz w:val="16"/>
          <w:szCs w:val="16"/>
        </w:rPr>
        <w:t xml:space="preserve">The book states item C8-4 in those words.</w:t>
      </w:r>
    </w:p>
    <w:p>
      <w:pPr>
        <w:spacing w:after="18"/>
        <w:ind w:left="300" w:hanging="300"/>
      </w:pPr>
      <w:r>
        <w:rPr>
          <w:b/>
          <w:bCs/>
          <w:color w:val="8186EF"/>
          <w:sz w:val="16"/>
          <w:szCs w:val="16"/>
        </w:rPr>
        <w:t xml:space="preserve">23  </w:t>
      </w:r>
      <w:r>
        <w:rPr>
          <w:sz w:val="16"/>
          <w:szCs w:val="16"/>
        </w:rPr>
        <w:t xml:space="preserve">The book states item C8-5 in those words.</w:t>
      </w:r>
    </w:p>
    <w:p>
      <w:pPr>
        <w:spacing w:after="18"/>
        <w:ind w:left="300" w:hanging="300"/>
      </w:pPr>
      <w:r>
        <w:rPr>
          <w:b/>
          <w:bCs/>
          <w:color w:val="8186EF"/>
          <w:sz w:val="16"/>
          <w:szCs w:val="16"/>
        </w:rPr>
        <w:t xml:space="preserve">24  </w:t>
      </w:r>
      <w:r>
        <w:rPr>
          <w:sz w:val="16"/>
          <w:szCs w:val="16"/>
        </w:rPr>
        <w:t xml:space="preserve">The book states item C8-6 in those words.</w:t>
      </w:r>
    </w:p>
    <w:p>
      <w:pPr>
        <w:spacing w:after="18"/>
        <w:ind w:left="300" w:hanging="300"/>
      </w:pPr>
      <w:r>
        <w:rPr>
          <w:b/>
          <w:bCs/>
          <w:color w:val="8186EF"/>
          <w:sz w:val="16"/>
          <w:szCs w:val="16"/>
        </w:rPr>
        <w:t xml:space="preserve">25  </w:t>
      </w:r>
      <w:r>
        <w:rPr>
          <w:sz w:val="16"/>
          <w:szCs w:val="16"/>
        </w:rPr>
        <w:t xml:space="preserve">FIFO, average cost and specific identification use LCNRV. A is wrong: LCM applies only to LIFO and the retail inventory method. B is wrong: Replacement cost is only the starting point for market under LCM.</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 — answer keys</dc:title>
  <dc:subject>Inventory II: Measurement Tests, Retail Estimates and Choosing a Method</dc:subject>
  <cp:category>Student Book</cp:category>
</cp:coreProperties>
</file>