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8.1</w:t>
      </w:r>
    </w:p>
    <w:p>
      <w:pPr>
        <w:spacing w:after="8"/>
      </w:pPr>
      <w:r>
        <w:rPr>
          <w:color w:val="23265A"/>
          <w:sz w:val="22"/>
          <w:szCs w:val="22"/>
        </w:rPr>
        <w:t xml:space="preserve">Which test applies?</w:t>
      </w:r>
    </w:p>
    <w:p>
      <w:pPr>
        <w:spacing w:after="130"/>
      </w:pPr>
      <w:r>
        <w:rPr>
          <w:color w:val="6B7280"/>
          <w:sz w:val="20"/>
          <w:szCs w:val="20"/>
        </w:rPr>
        <w:t xml:space="preserve">section 8.1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33"/>
        <w:gridCol w:w="2896"/>
        <w:gridCol w:w="487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5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0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53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55"/>
            <w:tcMar>
              <w:top w:type="dxa" w:w="50"/>
              <w:left w:type="dxa" w:w="110"/>
              <w:bottom w:type="dxa" w:w="50"/>
              <w:right w:type="dxa" w:w="110"/>
            </w:tcMar>
          </w:tcPr>
          <w:p>
            <w:pPr>
              <w:spacing w:before="26" w:after="26"/>
            </w:pPr>
            <w:r>
              <w:rPr>
                <w:color w:val="232733"/>
                <w:sz w:val="16"/>
                <w:szCs w:val="16"/>
              </w:rPr>
              <w:t xml:space="preserve">Which test applies?</w:t>
            </w:r>
          </w:p>
        </w:tc>
        <w:tc>
          <w:tcPr>
            <w:tcW w:type="pct" w:w="1508"/>
            <w:tcMar>
              <w:top w:type="dxa" w:w="50"/>
              <w:left w:type="dxa" w:w="110"/>
              <w:bottom w:type="dxa" w:w="50"/>
              <w:right w:type="dxa" w:w="110"/>
            </w:tcMar>
          </w:tcPr>
          <w:p>
            <w:pPr>
              <w:spacing w:before="26" w:after="26"/>
            </w:pPr>
            <w:r>
              <w:rPr>
                <w:color w:val="232733"/>
                <w:sz w:val="16"/>
                <w:szCs w:val="16"/>
              </w:rPr>
              <w:t xml:space="preserve">a figure to read · Orontes olive oil, December 31, 2025</w:t>
            </w:r>
          </w:p>
        </w:tc>
        <w:tc>
          <w:tcPr>
            <w:tcW w:type="pct" w:w="2537"/>
            <w:tcMar>
              <w:top w:type="dxa" w:w="50"/>
              <w:left w:type="dxa" w:w="110"/>
              <w:bottom w:type="dxa" w:w="50"/>
              <w:right w:type="dxa" w:w="110"/>
            </w:tcMar>
          </w:tcPr>
          <w:p>
            <w:pPr>
              <w:spacing w:before="26" w:after="26"/>
            </w:pPr>
            <w:r>
              <w:rPr>
                <w:color w:val="232733"/>
                <w:sz w:val="16"/>
                <w:szCs w:val="16"/>
              </w:rPr>
              <w:t xml:space="preserve">A company uses the weighted-average method. At year-end, NRV is below cost. The company should:</w:t>
            </w:r>
          </w:p>
        </w:tc>
      </w:tr>
      <w:tr>
        <w:tc>
          <w:tcPr>
            <w:tcW w:type="pct" w:w="95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08"/>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53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floor</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shrinkage   ·   write-down   ·   retail inventory method   ·   floor</w:t>
      </w:r>
    </w:p>
    <w:p>
      <w:pPr>
        <w:spacing w:before="36" w:after="36"/>
        <w:ind w:left="300"/>
      </w:pPr>
      <w:r>
        <w:rPr>
          <w:sz w:val="19"/>
          <w:szCs w:val="19"/>
        </w:rPr>
        <w:t xml:space="preserve">Inventory measured by LIFO or the </w:t>
      </w:r>
      <w:r>
        <w:rPr>
          <w:u w:val="single"/>
          <w:sz w:val="19"/>
          <w:szCs w:val="19"/>
        </w:rPr>
        <w:t xml:space="preserve">                         </w:t>
      </w:r>
      <w:r>
        <w:rPr>
          <w:sz w:val="19"/>
          <w:szCs w:val="19"/>
        </w:rPr>
        <w:t xml:space="preserve"> uses the lower of cost or market (LCM) (Section 8.2). Decision: the cost flow method decides whether LCNRV or LCM applies. Net realizable value (NRV) is the estimated selling price in the ordinary course of business, minus the costs to complete, sell and transport the goods. If NRV is below cost, the company records a </w:t>
      </w:r>
      <w:r>
        <w:rPr>
          <w:u w:val="single"/>
          <w:sz w:val="19"/>
          <w:szCs w:val="19"/>
        </w:rPr>
        <w:t xml:space="preserve">            </w:t>
      </w:r>
      <w:r>
        <w:rPr>
          <w:sz w:val="19"/>
          <w:szCs w:val="19"/>
        </w:rPr>
        <w:t xml:space="preserve"> to NRV.</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write-down   ·   shrinkage   ·   floor   ·   normal profit margin</w:t>
      </w:r>
    </w:p>
    <w:p>
      <w:pPr>
        <w:spacing w:before="36" w:after="36"/>
        <w:ind w:left="300"/>
      </w:pPr>
      <w:r>
        <w:rPr>
          <w:sz w:val="19"/>
          <w:szCs w:val="19"/>
        </w:rPr>
        <w:t xml:space="preserve">NRV = selling price − costs to complete, sell and transport. Do NOT deduct a normal profit; that only defines the LCM </w:t>
      </w:r>
      <w:r>
        <w:rPr>
          <w:u w:val="single"/>
          <w:sz w:val="19"/>
          <w:szCs w:val="19"/>
        </w:rPr>
        <w:t xml:space="preserve">           </w:t>
      </w:r>
      <w:r>
        <w:rPr>
          <w:sz w:val="19"/>
          <w:szCs w:val="19"/>
        </w:rPr>
        <w:t xml:space="preserve">. Check the method first: FIFO or average → LCNRV; LIFO or retail → LCM. GAAP never reverses an annual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floor   ·   normal profit margin   ·   write-down   ·   shrinkage</w:t>
      </w:r>
    </w:p>
    <w:p>
      <w:pPr>
        <w:spacing w:before="36" w:after="36"/>
        <w:ind w:left="300"/>
      </w:pPr>
      <w:r>
        <w:rPr>
          <w:sz w:val="19"/>
          <w:szCs w:val="19"/>
        </w:rPr>
        <w:t xml:space="preserve">When prices recover, IAS 2 requires a reversal, limited to the original </w:t>
      </w:r>
      <w:r>
        <w:rPr>
          <w:u w:val="single"/>
          <w:sz w:val="19"/>
          <w:szCs w:val="19"/>
        </w:rPr>
        <w:t xml:space="preserve">            </w:t>
      </w:r>
      <w:r>
        <w:rPr>
          <w:sz w:val="19"/>
          <w:szCs w:val="19"/>
        </w:rPr>
        <w:t xml:space="preserve">. NRV = selling price − costs to complete, sell and transport. Do NOT deduct a normal profit; that only defines the LCM </w:t>
      </w:r>
      <w:r>
        <w:rPr>
          <w:u w:val="single"/>
          <w:sz w:val="19"/>
          <w:szCs w:val="19"/>
        </w:rPr>
        <w:t xml:space="preserve">           </w:t>
      </w:r>
      <w:r>
        <w:rPr>
          <w:sz w:val="19"/>
          <w:szCs w:val="19"/>
        </w:rPr>
        <w:t xml:space="preserve">. Check the method first: FIFO or average → LCNRV; LIFO or retail → LCM.</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Which test applies?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90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9088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olive oil, December 31, 2025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olive oil,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Olive oil cases on hand (FIFO layer from Chapter 7)</w:t>
            </w:r>
          </w:p>
        </w:tc>
        <w:tc>
          <w:tcPr>
            <w:tcW w:type="pct" w:w="2400"/>
            <w:tcMar>
              <w:top w:type="dxa" w:w="50"/>
              <w:left w:type="dxa" w:w="110"/>
              <w:bottom w:type="dxa" w:w="50"/>
              <w:right w:type="dxa" w:w="110"/>
            </w:tcMar>
          </w:tcPr>
          <w:p>
            <w:pPr>
              <w:spacing w:before="26" w:after="26"/>
            </w:pPr>
            <w:r>
              <w:rPr>
                <w:color w:val="232733"/>
                <w:sz w:val="16"/>
                <w:szCs w:val="16"/>
              </w:rPr>
              <w:t xml:space="preserve">2,000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per case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$50</w:t>
            </w:r>
          </w:p>
        </w:tc>
      </w:tr>
      <w:tr>
        <w:tc>
          <w:tcPr>
            <w:tcW w:type="pct" w:w="2600"/>
            <w:tcMar>
              <w:top w:type="dxa" w:w="50"/>
              <w:left w:type="dxa" w:w="110"/>
              <w:bottom w:type="dxa" w:w="50"/>
              <w:right w:type="dxa" w:w="110"/>
            </w:tcMar>
          </w:tcPr>
          <w:p>
            <w:pPr>
              <w:spacing w:before="26" w:after="26"/>
            </w:pPr>
            <w:r>
              <w:rPr>
                <w:color w:val="232733"/>
                <w:sz w:val="16"/>
                <w:szCs w:val="16"/>
              </w:rPr>
              <w:t xml:space="preserve">New estimated selling price per case</w:t>
            </w:r>
          </w:p>
        </w:tc>
        <w:tc>
          <w:tcPr>
            <w:tcW w:type="pct" w:w="2400"/>
            <w:tcMar>
              <w:top w:type="dxa" w:w="50"/>
              <w:left w:type="dxa" w:w="110"/>
              <w:bottom w:type="dxa" w:w="50"/>
              <w:right w:type="dxa" w:w="110"/>
            </w:tcMar>
          </w:tcPr>
          <w:p>
            <w:pPr>
              <w:spacing w:before="26" w:after="26"/>
            </w:pPr>
            <w:r>
              <w:rPr>
                <w:color w:val="232733"/>
                <w:sz w:val="16"/>
                <w:szCs w:val="16"/>
              </w:rPr>
              <w:t xml:space="preserve">$54</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Costs to sell and deliver per case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$6</w:t>
            </w:r>
          </w:p>
        </w:tc>
      </w:tr>
      <w:tr>
        <w:tc>
          <w:tcPr>
            <w:tcW w:type="pct" w:w="2600"/>
            <w:tcMar>
              <w:top w:type="dxa" w:w="50"/>
              <w:left w:type="dxa" w:w="110"/>
              <w:bottom w:type="dxa" w:w="50"/>
              <w:right w:type="dxa" w:w="110"/>
            </w:tcMar>
          </w:tcPr>
          <w:p>
            <w:pPr>
              <w:spacing w:before="26" w:after="26"/>
            </w:pPr>
            <w:r>
              <w:rPr>
                <w:color w:val="232733"/>
                <w:sz w:val="16"/>
                <w:szCs w:val="16"/>
              </w:rPr>
              <w:t xml:space="preserve">NRV per case</w:t>
            </w:r>
          </w:p>
        </w:tc>
        <w:tc>
          <w:tcPr>
            <w:tcW w:type="pct" w:w="2400"/>
            <w:tcMar>
              <w:top w:type="dxa" w:w="50"/>
              <w:left w:type="dxa" w:w="110"/>
              <w:bottom w:type="dxa" w:w="50"/>
              <w:right w:type="dxa" w:w="110"/>
            </w:tcMar>
          </w:tcPr>
          <w:p>
            <w:pPr>
              <w:spacing w:before="26" w:after="26"/>
            </w:pPr>
            <w:r>
              <w:rPr>
                <w:color w:val="232733"/>
                <w:sz w:val="16"/>
                <w:szCs w:val="16"/>
              </w:rPr>
              <w:t xml:space="preserve">$48</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 at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$100,000</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 at LCNRV</w:t>
            </w:r>
          </w:p>
        </w:tc>
        <w:tc>
          <w:tcPr>
            <w:tcW w:type="pct" w:w="2400"/>
            <w:tcMar>
              <w:top w:type="dxa" w:w="50"/>
              <w:left w:type="dxa" w:w="110"/>
              <w:bottom w:type="dxa" w:w="50"/>
              <w:right w:type="dxa" w:w="110"/>
            </w:tcMar>
          </w:tcPr>
          <w:p>
            <w:pPr>
              <w:spacing w:before="26" w:after="26"/>
            </w:pPr>
            <w:r>
              <w:rPr>
                <w:color w:val="232733"/>
                <w:sz w:val="16"/>
                <w:szCs w:val="16"/>
              </w:rPr>
              <w:t xml:space="preserve">$96,000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Write-down (loss in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Olive oil cases on hand (FIFO layer from Chapter 7)?</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$54</w:t>
            </w:r>
          </w:p>
        </w:tc>
      </w:tr>
    </w:tbl>
    <w:p>
      <w:pPr>
        <w:spacing w:before="40" w:after="16"/>
        <w:ind w:left="300" w:hanging="300"/>
      </w:pPr>
      <w:r>
        <w:rPr>
          <w:b/>
          <w:bCs/>
          <w:color w:val="353A7C"/>
          <w:sz w:val="19"/>
          <w:szCs w:val="19"/>
        </w:rPr>
        <w:t xml:space="preserve">6.  </w:t>
      </w:r>
      <w:r>
        <w:rPr>
          <w:sz w:val="19"/>
          <w:szCs w:val="19"/>
        </w:rPr>
        <w:t xml:space="preserve">Which amount does the book give for Cost per case?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$54</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$48</w:t>
            </w:r>
          </w:p>
        </w:tc>
      </w:tr>
    </w:tbl>
    <w:p>
      <w:pPr>
        <w:spacing w:before="40" w:after="16"/>
        <w:ind w:left="300" w:hanging="300"/>
      </w:pPr>
      <w:r>
        <w:rPr>
          <w:b/>
          <w:bCs/>
          <w:color w:val="353A7C"/>
          <w:sz w:val="19"/>
          <w:szCs w:val="19"/>
        </w:rPr>
        <w:t xml:space="preserve">7.  </w:t>
      </w:r>
      <w:r>
        <w:rPr>
          <w:sz w:val="19"/>
          <w:szCs w:val="19"/>
        </w:rPr>
        <w:t xml:space="preserve">Which amount does the book give for New estimated selling price per case?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$48</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$54</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A company uses the weighted-average method. At year-end, NRV is below cost. The company should:</w:t>
      </w:r>
    </w:p>
    <w:p>
      <w:pPr>
        <w:spacing w:after="18"/>
        <w:ind w:left="560" w:hanging="260"/>
      </w:pPr>
      <w:r>
        <w:rPr>
          <w:b/>
          <w:bCs/>
          <w:color w:val="8186EF"/>
          <w:sz w:val="18"/>
          <w:szCs w:val="18"/>
        </w:rPr>
        <w:t xml:space="preserve">A. </w:t>
      </w:r>
      <w:r>
        <w:rPr>
          <w:sz w:val="18"/>
          <w:szCs w:val="18"/>
        </w:rPr>
        <w:t xml:space="preserve">write the inventory down to replacement cost.</w:t>
      </w:r>
    </w:p>
    <w:p>
      <w:pPr>
        <w:spacing w:after="18"/>
        <w:ind w:left="560" w:hanging="260"/>
      </w:pPr>
      <w:r>
        <w:rPr>
          <w:b/>
          <w:bCs/>
          <w:color w:val="8186EF"/>
          <w:sz w:val="18"/>
          <w:szCs w:val="18"/>
        </w:rPr>
        <w:t xml:space="preserve">B. </w:t>
      </w:r>
      <w:r>
        <w:rPr>
          <w:sz w:val="18"/>
          <w:szCs w:val="18"/>
        </w:rPr>
        <w:t xml:space="preserve">disclose the decline in the notes only.</w:t>
      </w:r>
    </w:p>
    <w:p>
      <w:pPr>
        <w:spacing w:after="18"/>
        <w:ind w:left="560" w:hanging="260"/>
      </w:pPr>
      <w:r>
        <w:rPr>
          <w:b/>
          <w:bCs/>
          <w:color w:val="8186EF"/>
          <w:sz w:val="18"/>
          <w:szCs w:val="18"/>
        </w:rPr>
        <w:t xml:space="preserve">C. </w:t>
      </w:r>
      <w:r>
        <w:rPr>
          <w:sz w:val="18"/>
          <w:szCs w:val="18"/>
        </w:rPr>
        <w:t xml:space="preserve">record the decline in other comprehensive income.</w:t>
      </w:r>
    </w:p>
    <w:p>
      <w:pPr>
        <w:spacing w:after="18"/>
        <w:ind w:left="560" w:hanging="260"/>
      </w:pPr>
      <w:r>
        <w:rPr>
          <w:b/>
          <w:bCs/>
          <w:color w:val="8186EF"/>
          <w:sz w:val="18"/>
          <w:szCs w:val="18"/>
        </w:rPr>
        <w:t xml:space="preserve">D. </w:t>
      </w:r>
      <w:r>
        <w:rPr>
          <w:sz w:val="18"/>
          <w:szCs w:val="18"/>
        </w:rPr>
        <w:t xml:space="preserve">write the inventory down to NRV and recognize a loss in income.</w:t>
      </w:r>
    </w:p>
    <w:p>
      <w:pPr>
        <w:spacing w:before="40" w:after="16"/>
        <w:ind w:left="300" w:hanging="300"/>
      </w:pPr>
      <w:r>
        <w:rPr>
          <w:b/>
          <w:bCs/>
          <w:color w:val="353A7C"/>
          <w:sz w:val="19"/>
          <w:szCs w:val="19"/>
        </w:rPr>
        <w:t xml:space="preserve">9.  </w:t>
      </w:r>
      <w:r>
        <w:rPr>
          <w:sz w:val="19"/>
          <w:szCs w:val="19"/>
        </w:rPr>
        <w:t xml:space="preserve">Date syrup is measured under LIFO. Cost is $50, replacement cost $48, selling price $55, costs to sell $10 and normal profit $6 per case. At what amount per case is it reported?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$39</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$48</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w:t>
            </w:r>
          </w:p>
        </w:tc>
      </w:tr>
    </w:tbl>
    <w:p>
      <w:pPr>
        <w:spacing w:before="40" w:after="16"/>
        <w:ind w:left="300" w:hanging="300"/>
      </w:pPr>
      <w:r>
        <w:rPr>
          <w:b/>
          <w:bCs/>
          <w:color w:val="353A7C"/>
          <w:sz w:val="19"/>
          <w:szCs w:val="19"/>
        </w:rPr>
        <w:t xml:space="preserve">10.  </w:t>
      </w:r>
      <w:r>
        <w:rPr>
          <w:sz w:val="19"/>
          <w:szCs w:val="19"/>
        </w:rPr>
        <w:t xml:space="preserve">Under U.S. GAAP, a company wrote inventory down at the end of 2025. In 2026, the selling price recovers. What should the company do?</w:t>
      </w:r>
    </w:p>
    <w:p>
      <w:pPr>
        <w:spacing w:after="18"/>
        <w:ind w:left="560" w:hanging="260"/>
      </w:pPr>
      <w:r>
        <w:rPr>
          <w:b/>
          <w:bCs/>
          <w:color w:val="8186EF"/>
          <w:sz w:val="18"/>
          <w:szCs w:val="18"/>
        </w:rPr>
        <w:t xml:space="preserve">A. </w:t>
      </w:r>
      <w:r>
        <w:rPr>
          <w:sz w:val="18"/>
          <w:szCs w:val="18"/>
        </w:rPr>
        <w:t xml:space="preserve">Nothing; the write-down is not reversed.</w:t>
      </w:r>
    </w:p>
    <w:p>
      <w:pPr>
        <w:spacing w:after="18"/>
        <w:ind w:left="560" w:hanging="260"/>
      </w:pPr>
      <w:r>
        <w:rPr>
          <w:b/>
          <w:bCs/>
          <w:color w:val="8186EF"/>
          <w:sz w:val="18"/>
          <w:szCs w:val="18"/>
        </w:rPr>
        <w:t xml:space="preserve">B. </w:t>
      </w:r>
      <w:r>
        <w:rPr>
          <w:sz w:val="18"/>
          <w:szCs w:val="18"/>
        </w:rPr>
        <w:t xml:space="preserve">Reverse the write-down, up to the original amount.</w:t>
      </w:r>
    </w:p>
    <w:p>
      <w:pPr>
        <w:spacing w:after="18"/>
        <w:ind w:left="560" w:hanging="260"/>
      </w:pPr>
      <w:r>
        <w:rPr>
          <w:b/>
          <w:bCs/>
          <w:color w:val="8186EF"/>
          <w:sz w:val="18"/>
          <w:szCs w:val="18"/>
        </w:rPr>
        <w:t xml:space="preserve">C. </w:t>
      </w:r>
      <w:r>
        <w:rPr>
          <w:sz w:val="18"/>
          <w:szCs w:val="18"/>
        </w:rPr>
        <w:t xml:space="preserve">Reverse the write-down through OCI.</w:t>
      </w:r>
    </w:p>
    <w:p>
      <w:pPr>
        <w:spacing w:after="18"/>
        <w:ind w:left="560" w:hanging="260"/>
      </w:pPr>
      <w:r>
        <w:rPr>
          <w:b/>
          <w:bCs/>
          <w:color w:val="8186EF"/>
          <w:sz w:val="18"/>
          <w:szCs w:val="18"/>
        </w:rPr>
        <w:t xml:space="preserve">D. </w:t>
      </w:r>
      <w:r>
        <w:rPr>
          <w:sz w:val="18"/>
          <w:szCs w:val="18"/>
        </w:rPr>
        <w:t xml:space="preserve">Reverse the write-down only if the recovery happens within one year.</w:t>
      </w:r>
    </w:p>
    <w:p>
      <w:pPr>
        <w:spacing w:before="40" w:after="16"/>
        <w:ind w:left="300" w:hanging="300"/>
      </w:pPr>
      <w:r>
        <w:rPr>
          <w:b/>
          <w:bCs/>
          <w:color w:val="353A7C"/>
          <w:sz w:val="19"/>
          <w:szCs w:val="19"/>
        </w:rPr>
        <w:t xml:space="preserve">11.  </w:t>
      </w:r>
      <w:r>
        <w:rPr>
          <w:sz w:val="19"/>
          <w:szCs w:val="19"/>
        </w:rPr>
        <w:t xml:space="preserve">A company recognized an inventory write-down in the first quarter. The market price recovers in the third quarter of the same fiscal year. What is the treatment?</w:t>
      </w:r>
    </w:p>
    <w:p>
      <w:pPr>
        <w:spacing w:after="18"/>
        <w:ind w:left="560" w:hanging="260"/>
      </w:pPr>
      <w:r>
        <w:rPr>
          <w:b/>
          <w:bCs/>
          <w:color w:val="8186EF"/>
          <w:sz w:val="18"/>
          <w:szCs w:val="18"/>
        </w:rPr>
        <w:t xml:space="preserve">A. </w:t>
      </w:r>
      <w:r>
        <w:rPr>
          <w:sz w:val="18"/>
          <w:szCs w:val="18"/>
        </w:rPr>
        <w:t xml:space="preserve">The loss can never be recovered.</w:t>
      </w:r>
    </w:p>
    <w:p>
      <w:pPr>
        <w:spacing w:after="18"/>
        <w:ind w:left="560" w:hanging="260"/>
      </w:pPr>
      <w:r>
        <w:rPr>
          <w:b/>
          <w:bCs/>
          <w:color w:val="8186EF"/>
          <w:sz w:val="18"/>
          <w:szCs w:val="18"/>
        </w:rPr>
        <w:t xml:space="preserve">B. </w:t>
      </w:r>
      <w:r>
        <w:rPr>
          <w:sz w:val="18"/>
          <w:szCs w:val="18"/>
        </w:rPr>
        <w:t xml:space="preserve">Inventory is written up to the new market price, even above cost.</w:t>
      </w:r>
    </w:p>
    <w:p>
      <w:pPr>
        <w:spacing w:after="18"/>
        <w:ind w:left="560" w:hanging="260"/>
      </w:pPr>
      <w:r>
        <w:rPr>
          <w:b/>
          <w:bCs/>
          <w:color w:val="8186EF"/>
          <w:sz w:val="18"/>
          <w:szCs w:val="18"/>
        </w:rPr>
        <w:t xml:space="preserve">C. </w:t>
      </w:r>
      <w:r>
        <w:rPr>
          <w:sz w:val="18"/>
          <w:szCs w:val="18"/>
        </w:rPr>
        <w:t xml:space="preserve">The loss may be recovered in the third quarter, up to the amount written down.</w:t>
      </w:r>
    </w:p>
    <w:p>
      <w:pPr>
        <w:spacing w:after="18"/>
        <w:ind w:left="560" w:hanging="260"/>
      </w:pPr>
      <w:r>
        <w:rPr>
          <w:b/>
          <w:bCs/>
          <w:color w:val="8186EF"/>
          <w:sz w:val="18"/>
          <w:szCs w:val="18"/>
        </w:rPr>
        <w:t xml:space="preserve">D. </w:t>
      </w:r>
      <w:r>
        <w:rPr>
          <w:sz w:val="18"/>
          <w:szCs w:val="18"/>
        </w:rPr>
        <w:t xml:space="preserve">The recovery is recorded in OCI.</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A company uses the weighted-average method. At year-end, NRV is below cost. The company should:</w:t>
            </w:r>
          </w:p>
          <w:p>
            <w:pPr>
              <w:spacing w:after="16"/>
              <w:ind w:left="500" w:hanging="200"/>
            </w:pPr>
            <w:r>
              <w:rPr>
                <w:b/>
                <w:bCs/>
                <w:color w:val="8186EF"/>
                <w:sz w:val="18"/>
                <w:szCs w:val="18"/>
              </w:rPr>
              <w:t xml:space="preserve">A. </w:t>
            </w:r>
            <w:r>
              <w:rPr>
                <w:sz w:val="18"/>
                <w:szCs w:val="18"/>
              </w:rPr>
              <w:t xml:space="preserve">write the inventory down to replacement cost.</w:t>
            </w:r>
          </w:p>
          <w:p>
            <w:pPr>
              <w:spacing w:after="16"/>
              <w:ind w:left="500" w:hanging="200"/>
            </w:pPr>
            <w:r>
              <w:rPr>
                <w:b/>
                <w:bCs/>
                <w:color w:val="8186EF"/>
                <w:sz w:val="18"/>
                <w:szCs w:val="18"/>
              </w:rPr>
              <w:t xml:space="preserve">B. </w:t>
            </w:r>
            <w:r>
              <w:rPr>
                <w:sz w:val="18"/>
                <w:szCs w:val="18"/>
              </w:rPr>
              <w:t xml:space="preserve">disclose the decline in the notes only.</w:t>
            </w:r>
          </w:p>
          <w:p>
            <w:pPr>
              <w:spacing w:after="16"/>
              <w:ind w:left="500" w:hanging="200"/>
            </w:pPr>
            <w:r>
              <w:rPr>
                <w:b/>
                <w:bCs/>
                <w:color w:val="8186EF"/>
                <w:sz w:val="18"/>
                <w:szCs w:val="18"/>
              </w:rPr>
              <w:t xml:space="preserve">C. </w:t>
            </w:r>
            <w:r>
              <w:rPr>
                <w:sz w:val="18"/>
                <w:szCs w:val="18"/>
              </w:rPr>
              <w:t xml:space="preserve">record the decline in other comprehensive income.</w:t>
            </w:r>
          </w:p>
          <w:p>
            <w:pPr>
              <w:spacing w:after="16"/>
              <w:ind w:left="500" w:hanging="200"/>
            </w:pPr>
            <w:r>
              <w:rPr>
                <w:b/>
                <w:bCs/>
                <w:color w:val="8186EF"/>
                <w:sz w:val="18"/>
                <w:szCs w:val="18"/>
              </w:rPr>
              <w:t xml:space="preserve">D. </w:t>
            </w:r>
            <w:r>
              <w:rPr>
                <w:sz w:val="18"/>
                <w:szCs w:val="18"/>
              </w:rPr>
              <w:t xml:space="preserve">write the inventory down to NRV and recognize a loss in income.</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3"/>
        <w:gridCol w:w="48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4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51"/>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49"/>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51"/>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49"/>
            <w:shd w:fill="FBFAF6" w:val="clear"/>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551"/>
            <w:shd w:fill="FBFAF6" w:val="clear"/>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49"/>
            <w:tcMar>
              <w:top w:type="dxa" w:w="50"/>
              <w:left w:type="dxa" w:w="110"/>
              <w:bottom w:type="dxa" w:w="50"/>
              <w:right w:type="dxa" w:w="110"/>
            </w:tcMar>
          </w:tcPr>
          <w:p>
            <w:pPr>
              <w:spacing w:before="26" w:after="26"/>
            </w:pPr>
            <w:r>
              <w:rPr>
                <w:color w:val="232733"/>
                <w:sz w:val="16"/>
                <w:szCs w:val="16"/>
              </w:rPr>
              <w:t xml:space="preserve">floor</w:t>
            </w:r>
          </w:p>
        </w:tc>
        <w:tc>
          <w:tcPr>
            <w:tcW w:type="pct" w:w="2551"/>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449"/>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551"/>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صافي القيمة القابلة للتحقق</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طريقة سعر التجزئة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تخفيض سعر البيع</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الحد الأدنى</w:t>
            </w:r>
          </w:p>
        </w:tc>
      </w:tr>
    </w:tbl>
    <w:p/>
    <w:p>
      <w:pPr>
        <w:spacing w:before="24" w:after="24"/>
        <w:ind w:left="300" w:hanging="300"/>
      </w:pPr>
      <w:r>
        <w:rPr>
          <w:b/>
          <w:bCs/>
          <w:color w:val="353A7C"/>
          <w:sz w:val="18"/>
          <w:szCs w:val="18"/>
        </w:rPr>
        <w:t xml:space="preserve">14.  </w:t>
      </w:r>
      <w:r>
        <w:rPr>
          <w:sz w:val="18"/>
          <w:szCs w:val="18"/>
        </w:rPr>
        <w:t xml:space="preserve">floor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net realizable value (NRV)</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markdown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retail inventory method</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In the retail inventory method, freight-in is:</w:t>
      </w:r>
    </w:p>
    <w:p>
      <w:pPr>
        <w:spacing w:after="18"/>
        <w:ind w:left="560" w:hanging="260"/>
      </w:pPr>
      <w:r>
        <w:rPr>
          <w:b/>
          <w:bCs/>
          <w:color w:val="8186EF"/>
          <w:sz w:val="18"/>
          <w:szCs w:val="18"/>
        </w:rPr>
        <w:t xml:space="preserve">A. </w:t>
      </w:r>
      <w:r>
        <w:rPr>
          <w:sz w:val="18"/>
          <w:szCs w:val="18"/>
        </w:rPr>
        <w:t xml:space="preserve">added to both the cost and retail columns.</w:t>
      </w:r>
    </w:p>
    <w:p>
      <w:pPr>
        <w:spacing w:after="18"/>
        <w:ind w:left="560" w:hanging="260"/>
      </w:pPr>
      <w:r>
        <w:rPr>
          <w:b/>
          <w:bCs/>
          <w:color w:val="8186EF"/>
          <w:sz w:val="18"/>
          <w:szCs w:val="18"/>
        </w:rPr>
        <w:t xml:space="preserve">B. </w:t>
      </w:r>
      <w:r>
        <w:rPr>
          <w:sz w:val="18"/>
          <w:szCs w:val="18"/>
        </w:rPr>
        <w:t xml:space="preserve">added to the cost column only.</w:t>
      </w:r>
    </w:p>
    <w:p>
      <w:pPr>
        <w:spacing w:after="18"/>
        <w:ind w:left="560" w:hanging="260"/>
      </w:pPr>
      <w:r>
        <w:rPr>
          <w:b/>
          <w:bCs/>
          <w:color w:val="8186EF"/>
          <w:sz w:val="18"/>
          <w:szCs w:val="18"/>
        </w:rPr>
        <w:t xml:space="preserve">C. </w:t>
      </w:r>
      <w:r>
        <w:rPr>
          <w:sz w:val="18"/>
          <w:szCs w:val="18"/>
        </w:rPr>
        <w:t xml:space="preserve">added to the retail column only.</w:t>
      </w:r>
    </w:p>
    <w:p>
      <w:pPr>
        <w:spacing w:after="18"/>
        <w:ind w:left="560" w:hanging="260"/>
      </w:pPr>
      <w:r>
        <w:rPr>
          <w:b/>
          <w:bCs/>
          <w:color w:val="8186EF"/>
          <w:sz w:val="18"/>
          <w:szCs w:val="18"/>
        </w:rPr>
        <w:t xml:space="preserve">D. </w:t>
      </w:r>
      <w:r>
        <w:rPr>
          <w:sz w:val="18"/>
          <w:szCs w:val="18"/>
        </w:rPr>
        <w:t xml:space="preserve">ignored.</w:t>
      </w:r>
    </w:p>
    <w:p>
      <w:pPr>
        <w:spacing w:before="40" w:after="16"/>
        <w:ind w:left="300" w:hanging="300"/>
      </w:pPr>
      <w:r>
        <w:rPr>
          <w:b/>
          <w:bCs/>
          <w:color w:val="353A7C"/>
          <w:sz w:val="19"/>
          <w:szCs w:val="19"/>
        </w:rPr>
        <w:t xml:space="preserve">19.  </w:t>
      </w:r>
      <w:r>
        <w:rPr>
          <w:sz w:val="19"/>
          <w:szCs w:val="19"/>
        </w:rPr>
        <w:t xml:space="preserve">A retailer's markup is 25% on cost. What gross profit rate on sales should it use in the gross profit method?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75%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33.3%</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21.  </w:t>
      </w:r>
      <w:r>
        <w:rPr>
          <w:sz w:val="19"/>
          <w:szCs w:val="19"/>
        </w:rPr>
        <w:t xml:space="preserve">Rebuild the figure from this handout. Label every part and fill in every box.</w:t>
      </w:r>
    </w:p>
    <w:p>
      <w:pPr>
        <w:spacing w:after="40" w:before="90"/>
        <w:jc w:val="center"/>
      </w:pPr>
      <w:r>
        <w:drawing>
          <wp:inline distT="0" distB="0" distL="0" distR="0">
            <wp:extent cx="5734050" cy="190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088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net realizable value (NRV)  ·  retail inventory method  ·  floor  ·  markdown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8.2</w:t>
      </w:r>
    </w:p>
    <w:p>
      <w:pPr>
        <w:spacing w:after="8"/>
      </w:pPr>
      <w:r>
        <w:rPr>
          <w:color w:val="23265A"/>
          <w:sz w:val="22"/>
          <w:szCs w:val="22"/>
        </w:rPr>
        <w:t xml:space="preserve">Lower of cost or market</w:t>
      </w:r>
    </w:p>
    <w:p>
      <w:pPr>
        <w:spacing w:after="130"/>
      </w:pPr>
      <w:r>
        <w:rPr>
          <w:color w:val="6B7280"/>
          <w:sz w:val="20"/>
          <w:szCs w:val="20"/>
        </w:rPr>
        <w:t xml:space="preserve">section 8.2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22"/>
        <w:gridCol w:w="2851"/>
        <w:gridCol w:w="452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57"/>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8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58"/>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57"/>
            <w:tcMar>
              <w:top w:type="dxa" w:w="50"/>
              <w:left w:type="dxa" w:w="110"/>
              <w:bottom w:type="dxa" w:w="50"/>
              <w:right w:type="dxa" w:w="110"/>
            </w:tcMar>
          </w:tcPr>
          <w:p>
            <w:pPr>
              <w:spacing w:before="26" w:after="26"/>
            </w:pPr>
            <w:r>
              <w:rPr>
                <w:color w:val="232733"/>
                <w:sz w:val="16"/>
                <w:szCs w:val="16"/>
              </w:rPr>
              <w:t xml:space="preserve">Lower of cost or market</w:t>
            </w:r>
          </w:p>
        </w:tc>
        <w:tc>
          <w:tcPr>
            <w:tcW w:type="pct" w:w="1485"/>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358"/>
            <w:tcMar>
              <w:top w:type="dxa" w:w="50"/>
              <w:left w:type="dxa" w:w="110"/>
              <w:bottom w:type="dxa" w:w="50"/>
              <w:right w:type="dxa" w:w="110"/>
            </w:tcMar>
          </w:tcPr>
          <w:p>
            <w:pPr>
              <w:spacing w:before="26" w:after="26"/>
            </w:pPr>
            <w:r>
              <w:rPr>
                <w:color w:val="232733"/>
                <w:sz w:val="16"/>
                <w:szCs w:val="16"/>
              </w:rPr>
              <w:t xml:space="preserve">The gross profit method is acceptable for:</w:t>
            </w:r>
          </w:p>
        </w:tc>
      </w:tr>
      <w:tr>
        <w:tc>
          <w:tcPr>
            <w:tcW w:type="pct" w:w="1157"/>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85"/>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floor   ·   markup   ·   replacement cost   ·   normal profit margin   ·   write-down   ·   ceiling</w:t>
      </w:r>
    </w:p>
    <w:p>
      <w:pPr>
        <w:spacing w:before="36" w:after="36"/>
        <w:ind w:left="300"/>
      </w:pPr>
      <w:r>
        <w:rPr>
          <w:sz w:val="19"/>
          <w:szCs w:val="19"/>
        </w:rPr>
        <w:t xml:space="preserve">It cannot be higher than a </w:t>
      </w:r>
      <w:r>
        <w:rPr>
          <w:u w:val="single"/>
          <w:sz w:val="19"/>
          <w:szCs w:val="19"/>
        </w:rPr>
        <w:t xml:space="preserve">           </w:t>
      </w:r>
      <w:r>
        <w:rPr>
          <w:sz w:val="19"/>
          <w:szCs w:val="19"/>
        </w:rPr>
        <w:t xml:space="preserve"> equal to NRV, and it cannot be lower than a </w:t>
      </w:r>
      <w:r>
        <w:rPr>
          <w:u w:val="single"/>
          <w:sz w:val="19"/>
          <w:szCs w:val="19"/>
        </w:rPr>
        <w:t xml:space="preserve">           </w:t>
      </w:r>
      <w:r>
        <w:rPr>
          <w:sz w:val="19"/>
          <w:szCs w:val="19"/>
        </w:rPr>
        <w:t xml:space="preserve"> equal to NRV minus a </w:t>
      </w:r>
      <w:r>
        <w:rPr>
          <w:u w:val="single"/>
          <w:sz w:val="19"/>
          <w:szCs w:val="19"/>
        </w:rPr>
        <w:t xml:space="preserve">                      </w:t>
      </w:r>
      <w:r>
        <w:rPr>
          <w:sz w:val="19"/>
          <w:szCs w:val="19"/>
        </w:rPr>
        <w:t xml:space="preserve">. First, find market: take the middle value of </w:t>
      </w:r>
      <w:r>
        <w:rPr>
          <w:u w:val="single"/>
          <w:sz w:val="19"/>
          <w:szCs w:val="19"/>
        </w:rPr>
        <w:t xml:space="preserve">                  </w:t>
      </w:r>
      <w:r>
        <w:rPr>
          <w:sz w:val="19"/>
          <w:szCs w:val="19"/>
        </w:rPr>
        <w:t xml:space="preserve">, the ceiling and the floor. Second, compare market with cost and take the lower.</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item-by-item basis   ·   purchase commitment   ·   write-down   ·   replacement cost   ·   markup</w:t>
      </w:r>
    </w:p>
    <w:p>
      <w:pPr>
        <w:spacing w:before="36" w:after="36"/>
        <w:ind w:left="300"/>
      </w:pPr>
      <w:r>
        <w:rPr>
          <w:sz w:val="19"/>
          <w:szCs w:val="19"/>
        </w:rPr>
        <w:t xml:space="preserve">The </w:t>
      </w:r>
      <w:r>
        <w:rPr>
          <w:u w:val="single"/>
          <w:sz w:val="19"/>
          <w:szCs w:val="19"/>
        </w:rPr>
        <w:t xml:space="preserve">                    </w:t>
      </w:r>
      <w:r>
        <w:rPr>
          <w:sz w:val="19"/>
          <w:szCs w:val="19"/>
        </w:rPr>
        <w:t xml:space="preserve"> is the most conservative. One more rule: if a company has a firm, non-cancellable </w:t>
      </w:r>
      <w:r>
        <w:rPr>
          <w:u w:val="single"/>
          <w:sz w:val="19"/>
          <w:szCs w:val="19"/>
        </w:rPr>
        <w:t xml:space="preserve">                     </w:t>
      </w:r>
      <w:r>
        <w:rPr>
          <w:sz w:val="19"/>
          <w:szCs w:val="19"/>
        </w:rPr>
        <w:t xml:space="preserve"> at a price above the current market, it records the expected loss now, in the current period. Do not compare </w:t>
      </w:r>
      <w:r>
        <w:rPr>
          <w:u w:val="single"/>
          <w:sz w:val="19"/>
          <w:szCs w:val="19"/>
        </w:rPr>
        <w:t xml:space="preserve">                  </w:t>
      </w:r>
      <w:r>
        <w:rPr>
          <w:sz w:val="19"/>
          <w:szCs w:val="19"/>
        </w:rPr>
        <w:t xml:space="preserve"> directly with cost.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ceiling   ·   floor   ·   shrinkage   ·   write-down   ·   markup   ·   replacement cost</w:t>
      </w:r>
    </w:p>
    <w:p>
      <w:pPr>
        <w:spacing w:before="36" w:after="36"/>
        <w:ind w:left="300"/>
      </w:pPr>
      <w:r>
        <w:rPr>
          <w:sz w:val="19"/>
          <w:szCs w:val="19"/>
        </w:rPr>
        <w:t xml:space="preserve">When </w:t>
      </w:r>
      <w:r>
        <w:rPr>
          <w:u w:val="single"/>
          <w:sz w:val="19"/>
          <w:szCs w:val="19"/>
        </w:rPr>
        <w:t xml:space="preserve">                  </w:t>
      </w:r>
      <w:r>
        <w:rPr>
          <w:sz w:val="19"/>
          <w:szCs w:val="19"/>
        </w:rPr>
        <w:t xml:space="preserve"> is below the </w:t>
      </w:r>
      <w:r>
        <w:rPr>
          <w:u w:val="single"/>
          <w:sz w:val="19"/>
          <w:szCs w:val="19"/>
        </w:rPr>
        <w:t xml:space="preserve">           </w:t>
      </w:r>
      <w:r>
        <w:rPr>
          <w:sz w:val="19"/>
          <w:szCs w:val="19"/>
        </w:rPr>
        <w:t xml:space="preserve">, market is the floor. When it is above the </w:t>
      </w:r>
      <w:r>
        <w:rPr>
          <w:u w:val="single"/>
          <w:sz w:val="19"/>
          <w:szCs w:val="19"/>
        </w:rPr>
        <w:t xml:space="preserve">           </w:t>
      </w:r>
      <w:r>
        <w:rPr>
          <w:sz w:val="19"/>
          <w:szCs w:val="19"/>
        </w:rPr>
        <w:t xml:space="preserve">, market is the ceiling. Read the basis in the question: item by item, by category or total. In French, dépréciation des stocks is an inventory </w:t>
      </w:r>
      <w:r>
        <w:rPr>
          <w:u w:val="single"/>
          <w:sz w:val="19"/>
          <w:szCs w:val="19"/>
        </w:rPr>
        <w:t xml:space="preserve">            </w:t>
      </w:r>
      <w:r>
        <w:rPr>
          <w:sz w:val="19"/>
          <w:szCs w:val="19"/>
        </w:rPr>
        <w:t xml:space="preserve">, not depreciation (amortissement).</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Lower of cost or market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answer of Goods available at retail as “150,000 − 6,000 = 144,000”.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47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4787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76"/>
            <w:tcMar>
              <w:top w:type="dxa" w:w="50"/>
              <w:left w:type="dxa" w:w="110"/>
              <w:bottom w:type="dxa" w:w="50"/>
              <w:right w:type="dxa" w:w="110"/>
            </w:tcMar>
          </w:tcPr>
          <w:p>
            <w:pPr>
              <w:spacing w:before="26" w:after="26"/>
            </w:pPr>
            <w:r>
              <w:rPr>
                <w:b/>
                <w:bCs/>
                <w:color w:val="353A7C"/>
                <w:sz w:val="15"/>
                <w:szCs w:val="15"/>
              </w:rPr>
              <w:t xml:space="preserve">Item</w:t>
            </w:r>
          </w:p>
        </w:tc>
        <w:tc>
          <w:tcPr>
            <w:tcW w:type="pct" w:w="2524"/>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76"/>
            <w:tcMar>
              <w:top w:type="dxa" w:w="50"/>
              <w:left w:type="dxa" w:w="110"/>
              <w:bottom w:type="dxa" w:w="50"/>
              <w:right w:type="dxa" w:w="110"/>
            </w:tcMar>
          </w:tcPr>
          <w:p>
            <w:pPr>
              <w:spacing w:before="26" w:after="26"/>
            </w:pPr>
            <w:r>
              <w:rPr>
                <w:color w:val="232733"/>
                <w:sz w:val="16"/>
                <w:szCs w:val="16"/>
              </w:rPr>
              <w:t xml:space="preserve">Goods available at retail</w:t>
            </w:r>
          </w:p>
        </w:tc>
        <w:tc>
          <w:tcPr>
            <w:tcW w:type="pct" w:w="2524"/>
            <w:tcMar>
              <w:top w:type="dxa" w:w="50"/>
              <w:left w:type="dxa" w:w="110"/>
              <w:bottom w:type="dxa" w:w="50"/>
              <w:right w:type="dxa" w:w="110"/>
            </w:tcMar>
          </w:tcPr>
          <w:p>
            <w:pPr>
              <w:spacing w:before="26" w:after="26"/>
            </w:pPr>
            <w:r>
              <w:rPr>
                <w:color w:val="232733"/>
                <w:sz w:val="16"/>
                <w:szCs w:val="16"/>
              </w:rPr>
              <w:t xml:space="preserve">150,000 − 6,000 = 144,000</w:t>
            </w:r>
          </w:p>
        </w:tc>
      </w:tr>
      <w:tr>
        <w:tc>
          <w:tcPr>
            <w:tcW w:type="pct" w:w="2476"/>
            <w:shd w:fill="FBFAF6" w:val="clear"/>
            <w:tcMar>
              <w:top w:type="dxa" w:w="50"/>
              <w:left w:type="dxa" w:w="110"/>
              <w:bottom w:type="dxa" w:w="50"/>
              <w:right w:type="dxa" w:w="110"/>
            </w:tcMar>
          </w:tcPr>
          <w:p>
            <w:pPr>
              <w:spacing w:before="26" w:after="26"/>
            </w:pPr>
            <w:r>
              <w:rPr>
                <w:color w:val="232733"/>
                <w:sz w:val="16"/>
                <w:szCs w:val="16"/>
              </w:rPr>
              <w:t xml:space="preserve">Ending inventory at retail</w:t>
            </w:r>
          </w:p>
        </w:tc>
        <w:tc>
          <w:tcPr>
            <w:tcW w:type="pct" w:w="2524"/>
            <w:shd w:fill="FBFAF6" w:val="clear"/>
            <w:tcMar>
              <w:top w:type="dxa" w:w="50"/>
              <w:left w:type="dxa" w:w="110"/>
              <w:bottom w:type="dxa" w:w="50"/>
              <w:right w:type="dxa" w:w="110"/>
            </w:tcMar>
          </w:tcPr>
          <w:p>
            <w:pPr>
              <w:spacing w:before="26" w:after="26"/>
            </w:pPr>
            <w:r>
              <w:rPr>
                <w:color w:val="232733"/>
                <w:sz w:val="16"/>
                <w:szCs w:val="16"/>
              </w:rPr>
              <w:t xml:space="preserve">144,000 − 120,000 = 24,000</w:t>
            </w:r>
          </w:p>
        </w:tc>
      </w:tr>
      <w:tr>
        <w:tc>
          <w:tcPr>
            <w:tcW w:type="pct" w:w="2476"/>
            <w:tcMar>
              <w:top w:type="dxa" w:w="50"/>
              <w:left w:type="dxa" w:w="110"/>
              <w:bottom w:type="dxa" w:w="50"/>
              <w:right w:type="dxa" w:w="110"/>
            </w:tcMar>
          </w:tcPr>
          <w:p>
            <w:pPr>
              <w:spacing w:before="26" w:after="26"/>
            </w:pPr>
            <w:r>
              <w:rPr>
                <w:color w:val="232733"/>
                <w:sz w:val="16"/>
                <w:szCs w:val="16"/>
              </w:rPr>
              <w:t xml:space="preserve">Conventional ratio</w:t>
            </w:r>
          </w:p>
        </w:tc>
        <w:tc>
          <w:tcPr>
            <w:tcW w:type="pct" w:w="2524"/>
            <w:tcMar>
              <w:top w:type="dxa" w:w="50"/>
              <w:left w:type="dxa" w:w="110"/>
              <w:bottom w:type="dxa" w:w="50"/>
              <w:right w:type="dxa" w:w="110"/>
            </w:tcMar>
          </w:tcPr>
          <w:p>
            <w:pPr>
              <w:spacing w:before="26" w:after="26"/>
            </w:pPr>
            <w:r>
              <w:rPr>
                <w:color w:val="232733"/>
                <w:sz w:val="16"/>
                <w:szCs w:val="16"/>
              </w:rPr>
              <w:t xml:space="preserve">90,000 ÷ 150,000 = 0.60</w:t>
            </w:r>
          </w:p>
        </w:tc>
      </w:tr>
      <w:tr>
        <w:tc>
          <w:tcPr>
            <w:tcW w:type="pct" w:w="2476"/>
            <w:shd w:fill="FBFAF6" w:val="clear"/>
            <w:tcMar>
              <w:top w:type="dxa" w:w="50"/>
              <w:left w:type="dxa" w:w="110"/>
              <w:bottom w:type="dxa" w:w="50"/>
              <w:right w:type="dxa" w:w="110"/>
            </w:tcMar>
          </w:tcPr>
          <w:p>
            <w:pPr>
              <w:spacing w:before="26" w:after="26"/>
            </w:pPr>
            <w:r>
              <w:rPr>
                <w:color w:val="232733"/>
                <w:sz w:val="16"/>
                <w:szCs w:val="16"/>
              </w:rPr>
              <w:t xml:space="preserve">Ending inventory at cost</w:t>
            </w:r>
          </w:p>
        </w:tc>
        <w:tc>
          <w:tcPr>
            <w:tcW w:type="pct" w:w="2524"/>
            <w:shd w:fill="FBFAF6" w:val="clear"/>
            <w:tcMar>
              <w:top w:type="dxa" w:w="50"/>
              <w:left w:type="dxa" w:w="110"/>
              <w:bottom w:type="dxa" w:w="50"/>
              <w:right w:type="dxa" w:w="110"/>
            </w:tcMar>
          </w:tcPr>
          <w:p>
            <w:pPr>
              <w:spacing w:before="26" w:after="26"/>
            </w:pPr>
            <w:r>
              <w:rPr>
                <w:color w:val="232733"/>
                <w:sz w:val="16"/>
                <w:szCs w:val="16"/>
              </w:rPr>
              <w:t xml:space="preserve">24,000 × 0.60 = $14,400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answer does the book give for Goods available at retail?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144,000 − 120,000 = 24,000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90,000 ÷ 150,000 = 0.60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150,000 − 6,000 = 144,000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24,000 × 0.60 = $14,400</w:t>
            </w:r>
          </w:p>
        </w:tc>
      </w:tr>
    </w:tbl>
    <w:p>
      <w:pPr>
        <w:spacing w:before="40" w:after="16"/>
        <w:ind w:left="300" w:hanging="300"/>
      </w:pPr>
      <w:r>
        <w:rPr>
          <w:b/>
          <w:bCs/>
          <w:color w:val="353A7C"/>
          <w:sz w:val="19"/>
          <w:szCs w:val="19"/>
        </w:rPr>
        <w:t xml:space="preserve">6.  </w:t>
      </w:r>
      <w:r>
        <w:rPr>
          <w:sz w:val="19"/>
          <w:szCs w:val="19"/>
        </w:rPr>
        <w:t xml:space="preserve">Which answer does the book give for Ending inventory at retail?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144,000 − 120,000 = 24,000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24,000 × 0.60 = $14,400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90,000 ÷ 150,000 = 0.60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150,000 − 6,000 = 144,000</w:t>
            </w:r>
          </w:p>
        </w:tc>
      </w:tr>
    </w:tbl>
    <w:p>
      <w:pPr>
        <w:spacing w:before="40" w:after="16"/>
        <w:ind w:left="300" w:hanging="300"/>
      </w:pPr>
      <w:r>
        <w:rPr>
          <w:b/>
          <w:bCs/>
          <w:color w:val="353A7C"/>
          <w:sz w:val="19"/>
          <w:szCs w:val="19"/>
        </w:rPr>
        <w:t xml:space="preserve">7.  </w:t>
      </w:r>
      <w:r>
        <w:rPr>
          <w:sz w:val="19"/>
          <w:szCs w:val="19"/>
        </w:rPr>
        <w:t xml:space="preserve">Which answer does the book give for Conventional ratio?</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150,000 − 6,000 = 144,000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24,000 × 0.60 = $14,400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90,000 ÷ 150,000 = 0.60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144,000 − 120,000 = 24,000</w:t>
            </w:r>
          </w:p>
        </w:tc>
      </w:tr>
    </w:tbl>
    <w:p>
      <w:pPr>
        <w:spacing w:before="40" w:after="16"/>
        <w:ind w:left="300" w:hanging="300"/>
      </w:pPr>
      <w:r>
        <w:rPr>
          <w:b/>
          <w:bCs/>
          <w:color w:val="353A7C"/>
          <w:sz w:val="19"/>
          <w:szCs w:val="19"/>
        </w:rPr>
        <w:t xml:space="preserve">8.  </w:t>
      </w:r>
      <w:r>
        <w:rPr>
          <w:sz w:val="19"/>
          <w:szCs w:val="19"/>
        </w:rPr>
        <w:t xml:space="preserve">Which answer does the book give for Ending inventory at cost?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144,000 − 120,000 = 24,000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90,000 ÷ 150,000 = 0.60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24,000 × 0.60 = $14,400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150,000 − 6,000 = 144,000</w:t>
            </w:r>
          </w:p>
        </w:tc>
      </w:tr>
    </w:tbl>
    <w:p>
      <w:pPr>
        <w:spacing w:before="30" w:after="30"/>
        <w:ind w:left="300" w:hanging="300"/>
      </w:pPr>
      <w:r>
        <w:rPr>
          <w:b/>
          <w:bCs/>
          <w:color w:val="353A7C"/>
          <w:sz w:val="19"/>
          <w:szCs w:val="19"/>
        </w:rPr>
        <w:t xml:space="preserve">9.  </w:t>
      </w:r>
      <w:r>
        <w:rPr>
          <w:sz w:val="19"/>
          <w:szCs w:val="19"/>
        </w:rPr>
        <w:t xml:space="preserve">The book gives the answer of Goods available at retail as “150,000 − 6,000 = 144,000”.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answer of Ending inventory at retail as “24,000 × 0.60 = $14,400”.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answer. Every item belongs to exactly one group.</w:t>
            </w:r>
          </w:p>
        </w:tc>
      </w:tr>
    </w:tbl>
    <w:p>
      <w:pPr>
        <w:spacing w:before="20" w:after="40"/>
      </w:pPr>
      <w:r>
        <w:rPr>
          <w:color w:val="6B7280"/>
          <w:sz w:val="16"/>
          <w:szCs w:val="16"/>
        </w:rPr>
        <w:t xml:space="preserve">the items:  </w:t>
      </w:r>
      <w:r>
        <w:rPr>
          <w:sz w:val="17"/>
          <w:szCs w:val="17"/>
        </w:rPr>
        <w:t xml:space="preserve">Goods available at retail   ·   Ending inventory at retail   ·   Conventional ratio   ·   Ending inventory at cost</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2400"/>
        <w:gridCol w:w="2400"/>
        <w:gridCol w:w="2400"/>
        <w:gridCol w:w="2400"/>
      </w:tblGrid>
      <w:tr>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144,000 − 120,000 = 24,000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150,000 − 6,000 = 144,000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24,000 × 0.60 = $14,400</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90,000 ÷ 150,000 = 0.60</w:t>
            </w:r>
          </w:p>
        </w:tc>
      </w:tr>
      <w:tr>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The gross profit method is acceptable for:</w:t>
      </w:r>
    </w:p>
    <w:p>
      <w:pPr>
        <w:spacing w:after="18"/>
        <w:ind w:left="560" w:hanging="260"/>
      </w:pPr>
      <w:r>
        <w:rPr>
          <w:b/>
          <w:bCs/>
          <w:color w:val="8186EF"/>
          <w:sz w:val="18"/>
          <w:szCs w:val="18"/>
        </w:rPr>
        <w:t xml:space="preserve">A. </w:t>
      </w:r>
      <w:r>
        <w:rPr>
          <w:sz w:val="18"/>
          <w:szCs w:val="18"/>
        </w:rPr>
        <w:t xml:space="preserve">interim reports and estimating casualty losses.</w:t>
      </w:r>
    </w:p>
    <w:p>
      <w:pPr>
        <w:spacing w:after="18"/>
        <w:ind w:left="560" w:hanging="260"/>
      </w:pPr>
      <w:r>
        <w:rPr>
          <w:b/>
          <w:bCs/>
          <w:color w:val="8186EF"/>
          <w:sz w:val="18"/>
          <w:szCs w:val="18"/>
        </w:rPr>
        <w:t xml:space="preserve">B. </w:t>
      </w:r>
      <w:r>
        <w:rPr>
          <w:sz w:val="18"/>
          <w:szCs w:val="18"/>
        </w:rPr>
        <w:t xml:space="preserve">annual financial statements under U.S. GAAP.</w:t>
      </w:r>
    </w:p>
    <w:p>
      <w:pPr>
        <w:spacing w:after="18"/>
        <w:ind w:left="560" w:hanging="260"/>
      </w:pPr>
      <w:r>
        <w:rPr>
          <w:b/>
          <w:bCs/>
          <w:color w:val="8186EF"/>
          <w:sz w:val="18"/>
          <w:szCs w:val="18"/>
        </w:rPr>
        <w:t xml:space="preserve">C. </w:t>
      </w:r>
      <w:r>
        <w:rPr>
          <w:sz w:val="18"/>
          <w:szCs w:val="18"/>
        </w:rPr>
        <w:t xml:space="preserve">replacing the year-end physical count.</w:t>
      </w:r>
    </w:p>
    <w:p>
      <w:pPr>
        <w:spacing w:after="18"/>
        <w:ind w:left="560" w:hanging="260"/>
      </w:pPr>
      <w:r>
        <w:rPr>
          <w:b/>
          <w:bCs/>
          <w:color w:val="8186EF"/>
          <w:sz w:val="18"/>
          <w:szCs w:val="18"/>
        </w:rPr>
        <w:t xml:space="preserve">D. </w:t>
      </w:r>
      <w:r>
        <w:rPr>
          <w:sz w:val="18"/>
          <w:szCs w:val="18"/>
        </w:rPr>
        <w:t xml:space="preserve">tax returns only.</w:t>
      </w:r>
    </w:p>
    <w:p>
      <w:pPr>
        <w:spacing w:before="40" w:after="16"/>
        <w:ind w:left="300" w:hanging="300"/>
      </w:pPr>
      <w:r>
        <w:rPr>
          <w:b/>
          <w:bCs/>
          <w:color w:val="353A7C"/>
          <w:sz w:val="19"/>
          <w:szCs w:val="19"/>
        </w:rPr>
        <w:t xml:space="preserve">16.  </w:t>
      </w:r>
      <w:r>
        <w:rPr>
          <w:sz w:val="19"/>
          <w:szCs w:val="19"/>
        </w:rPr>
        <w:t xml:space="preserve">Orontes signed a firm, non-cancellable contract to buy sesame seeds next year at a fixed price. At year-end, the market price is well below the contract price. What should Orontes do?</w:t>
      </w:r>
    </w:p>
    <w:p>
      <w:pPr>
        <w:spacing w:after="18"/>
        <w:ind w:left="560" w:hanging="260"/>
      </w:pPr>
      <w:r>
        <w:rPr>
          <w:b/>
          <w:bCs/>
          <w:color w:val="8186EF"/>
          <w:sz w:val="18"/>
          <w:szCs w:val="18"/>
        </w:rPr>
        <w:t xml:space="preserve">A. </w:t>
      </w:r>
      <w:r>
        <w:rPr>
          <w:sz w:val="18"/>
          <w:szCs w:val="18"/>
        </w:rPr>
        <w:t xml:space="preserve">Recognize the loss when the seeds arrive.</w:t>
      </w:r>
    </w:p>
    <w:p>
      <w:pPr>
        <w:spacing w:after="18"/>
        <w:ind w:left="560" w:hanging="260"/>
      </w:pPr>
      <w:r>
        <w:rPr>
          <w:b/>
          <w:bCs/>
          <w:color w:val="8186EF"/>
          <w:sz w:val="18"/>
          <w:szCs w:val="18"/>
        </w:rPr>
        <w:t xml:space="preserve">B. </w:t>
      </w:r>
      <w:r>
        <w:rPr>
          <w:sz w:val="18"/>
          <w:szCs w:val="18"/>
        </w:rPr>
        <w:t xml:space="preserve">Disclose the contract only.</w:t>
      </w:r>
    </w:p>
    <w:p>
      <w:pPr>
        <w:spacing w:after="18"/>
        <w:ind w:left="560" w:hanging="260"/>
      </w:pPr>
      <w:r>
        <w:rPr>
          <w:b/>
          <w:bCs/>
          <w:color w:val="8186EF"/>
          <w:sz w:val="18"/>
          <w:szCs w:val="18"/>
        </w:rPr>
        <w:t xml:space="preserve">C. </w:t>
      </w:r>
      <w:r>
        <w:rPr>
          <w:sz w:val="18"/>
          <w:szCs w:val="18"/>
        </w:rPr>
        <w:t xml:space="preserve">Recognize the expected loss now.</w:t>
      </w:r>
    </w:p>
    <w:p>
      <w:pPr>
        <w:spacing w:after="18"/>
        <w:ind w:left="560" w:hanging="260"/>
      </w:pPr>
      <w:r>
        <w:rPr>
          <w:b/>
          <w:bCs/>
          <w:color w:val="8186EF"/>
          <w:sz w:val="18"/>
          <w:szCs w:val="18"/>
        </w:rPr>
        <w:t xml:space="preserve">D. </w:t>
      </w:r>
      <w:r>
        <w:rPr>
          <w:sz w:val="18"/>
          <w:szCs w:val="18"/>
        </w:rPr>
        <w:t xml:space="preserve">Record the difference as an asset.</w:t>
      </w:r>
    </w:p>
    <w:p>
      <w:pPr>
        <w:spacing w:before="40" w:after="16"/>
        <w:ind w:left="300" w:hanging="300"/>
      </w:pPr>
      <w:r>
        <w:rPr>
          <w:b/>
          <w:bCs/>
          <w:color w:val="353A7C"/>
          <w:sz w:val="19"/>
          <w:szCs w:val="19"/>
        </w:rPr>
        <w:t xml:space="preserve">17.  </w:t>
      </w:r>
      <w:r>
        <w:rPr>
          <w:sz w:val="19"/>
          <w:szCs w:val="19"/>
        </w:rPr>
        <w:t xml:space="preserve">When prices are rising, which statement about FIFO is TRUE?</w:t>
      </w:r>
    </w:p>
    <w:p>
      <w:pPr>
        <w:spacing w:after="18"/>
        <w:ind w:left="560" w:hanging="260"/>
      </w:pPr>
      <w:r>
        <w:rPr>
          <w:b/>
          <w:bCs/>
          <w:color w:val="8186EF"/>
          <w:sz w:val="18"/>
          <w:szCs w:val="18"/>
        </w:rPr>
        <w:t xml:space="preserve">A. </w:t>
      </w:r>
      <w:r>
        <w:rPr>
          <w:sz w:val="18"/>
          <w:szCs w:val="18"/>
        </w:rPr>
        <w:t xml:space="preserve">Taxes are lower than under LIFO.</w:t>
      </w:r>
    </w:p>
    <w:p>
      <w:pPr>
        <w:spacing w:after="18"/>
        <w:ind w:left="560" w:hanging="260"/>
      </w:pPr>
      <w:r>
        <w:rPr>
          <w:b/>
          <w:bCs/>
          <w:color w:val="8186EF"/>
          <w:sz w:val="18"/>
          <w:szCs w:val="18"/>
        </w:rPr>
        <w:t xml:space="preserve">B. </w:t>
      </w:r>
      <w:r>
        <w:rPr>
          <w:sz w:val="18"/>
          <w:szCs w:val="18"/>
        </w:rPr>
        <w:t xml:space="preserve">Current costs are matched with current revenues.</w:t>
      </w:r>
    </w:p>
    <w:p>
      <w:pPr>
        <w:spacing w:after="18"/>
        <w:ind w:left="560" w:hanging="260"/>
      </w:pPr>
      <w:r>
        <w:rPr>
          <w:b/>
          <w:bCs/>
          <w:color w:val="8186EF"/>
          <w:sz w:val="18"/>
          <w:szCs w:val="18"/>
        </w:rPr>
        <w:t xml:space="preserve">C. </w:t>
      </w:r>
      <w:r>
        <w:rPr>
          <w:sz w:val="18"/>
          <w:szCs w:val="18"/>
        </w:rPr>
        <w:t xml:space="preserve">Ending inventory is close to current cost.</w:t>
      </w:r>
    </w:p>
    <w:p>
      <w:pPr>
        <w:spacing w:after="18"/>
        <w:ind w:left="560" w:hanging="260"/>
      </w:pPr>
      <w:r>
        <w:rPr>
          <w:b/>
          <w:bCs/>
          <w:color w:val="8186EF"/>
          <w:sz w:val="18"/>
          <w:szCs w:val="18"/>
        </w:rPr>
        <w:t xml:space="preserve">D. </w:t>
      </w:r>
      <w:r>
        <w:rPr>
          <w:sz w:val="18"/>
          <w:szCs w:val="18"/>
        </w:rPr>
        <w:t xml:space="preserve">It is not allowed under IFRS.</w:t>
      </w:r>
    </w:p>
    <w:p>
      <w:pPr>
        <w:spacing w:before="40" w:after="16"/>
        <w:ind w:left="300" w:hanging="300"/>
      </w:pPr>
      <w:r>
        <w:rPr>
          <w:b/>
          <w:bCs/>
          <w:color w:val="353A7C"/>
          <w:sz w:val="19"/>
          <w:szCs w:val="19"/>
        </w:rPr>
        <w:t xml:space="preserve">18.  </w:t>
      </w:r>
      <w:r>
        <w:rPr>
          <w:sz w:val="19"/>
          <w:szCs w:val="19"/>
        </w:rPr>
        <w:t xml:space="preserve">Which is a disadvantage of LIFO?</w:t>
      </w:r>
    </w:p>
    <w:p>
      <w:pPr>
        <w:spacing w:after="18"/>
        <w:ind w:left="560" w:hanging="260"/>
      </w:pPr>
      <w:r>
        <w:rPr>
          <w:b/>
          <w:bCs/>
          <w:color w:val="8186EF"/>
          <w:sz w:val="18"/>
          <w:szCs w:val="18"/>
        </w:rPr>
        <w:t xml:space="preserve">A. </w:t>
      </w:r>
      <w:r>
        <w:rPr>
          <w:sz w:val="18"/>
          <w:szCs w:val="18"/>
        </w:rPr>
        <w:t xml:space="preserve">Income includes large holding gains when prices rise.</w:t>
      </w:r>
    </w:p>
    <w:p>
      <w:pPr>
        <w:spacing w:after="18"/>
        <w:ind w:left="560" w:hanging="260"/>
      </w:pPr>
      <w:r>
        <w:rPr>
          <w:b/>
          <w:bCs/>
          <w:color w:val="8186EF"/>
          <w:sz w:val="18"/>
          <w:szCs w:val="18"/>
        </w:rPr>
        <w:t xml:space="preserve">B. </w:t>
      </w:r>
      <w:r>
        <w:rPr>
          <w:sz w:val="18"/>
          <w:szCs w:val="18"/>
        </w:rPr>
        <w:t xml:space="preserve">Taxes are higher when prices rise.</w:t>
      </w:r>
    </w:p>
    <w:p>
      <w:pPr>
        <w:spacing w:after="18"/>
        <w:ind w:left="560" w:hanging="260"/>
      </w:pPr>
      <w:r>
        <w:rPr>
          <w:b/>
          <w:bCs/>
          <w:color w:val="8186EF"/>
          <w:sz w:val="18"/>
          <w:szCs w:val="18"/>
        </w:rPr>
        <w:t xml:space="preserve">C. </w:t>
      </w:r>
      <w:r>
        <w:rPr>
          <w:sz w:val="18"/>
          <w:szCs w:val="18"/>
        </w:rPr>
        <w:t xml:space="preserve">It cannot be used for U.S. tax returns.</w:t>
      </w:r>
    </w:p>
    <w:p>
      <w:pPr>
        <w:spacing w:after="18"/>
        <w:ind w:left="560" w:hanging="260"/>
      </w:pPr>
      <w:r>
        <w:rPr>
          <w:b/>
          <w:bCs/>
          <w:color w:val="8186EF"/>
          <w:sz w:val="18"/>
          <w:szCs w:val="18"/>
        </w:rPr>
        <w:t xml:space="preserve">D. </w:t>
      </w:r>
      <w:r>
        <w:rPr>
          <w:sz w:val="18"/>
          <w:szCs w:val="18"/>
        </w:rPr>
        <w:t xml:space="preserve">The balance sheet can show inventory at very old costs.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The gross profit method is acceptable for:</w:t>
            </w:r>
          </w:p>
          <w:p>
            <w:pPr>
              <w:spacing w:after="16"/>
              <w:ind w:left="500" w:hanging="200"/>
            </w:pPr>
            <w:r>
              <w:rPr>
                <w:b/>
                <w:bCs/>
                <w:color w:val="8186EF"/>
                <w:sz w:val="18"/>
                <w:szCs w:val="18"/>
              </w:rPr>
              <w:t xml:space="preserve">A. </w:t>
            </w:r>
            <w:r>
              <w:rPr>
                <w:sz w:val="18"/>
                <w:szCs w:val="18"/>
              </w:rPr>
              <w:t xml:space="preserve">interim reports and estimating casualty losses.</w:t>
            </w:r>
          </w:p>
          <w:p>
            <w:pPr>
              <w:spacing w:after="16"/>
              <w:ind w:left="500" w:hanging="200"/>
            </w:pPr>
            <w:r>
              <w:rPr>
                <w:b/>
                <w:bCs/>
                <w:color w:val="8186EF"/>
                <w:sz w:val="18"/>
                <w:szCs w:val="18"/>
              </w:rPr>
              <w:t xml:space="preserve">B. </w:t>
            </w:r>
            <w:r>
              <w:rPr>
                <w:sz w:val="18"/>
                <w:szCs w:val="18"/>
              </w:rPr>
              <w:t xml:space="preserve">annual financial statements under U.S. GAAP.</w:t>
            </w:r>
          </w:p>
          <w:p>
            <w:pPr>
              <w:spacing w:after="16"/>
              <w:ind w:left="500" w:hanging="200"/>
            </w:pPr>
            <w:r>
              <w:rPr>
                <w:b/>
                <w:bCs/>
                <w:color w:val="8186EF"/>
                <w:sz w:val="18"/>
                <w:szCs w:val="18"/>
              </w:rPr>
              <w:t xml:space="preserve">C. </w:t>
            </w:r>
            <w:r>
              <w:rPr>
                <w:sz w:val="18"/>
                <w:szCs w:val="18"/>
              </w:rPr>
              <w:t xml:space="preserve">replacing the year-end physical count.</w:t>
            </w:r>
          </w:p>
          <w:p>
            <w:pPr>
              <w:spacing w:after="16"/>
              <w:ind w:left="500" w:hanging="200"/>
            </w:pPr>
            <w:r>
              <w:rPr>
                <w:b/>
                <w:bCs/>
                <w:color w:val="8186EF"/>
                <w:sz w:val="18"/>
                <w:szCs w:val="18"/>
              </w:rPr>
              <w:t xml:space="preserve">D. </w:t>
            </w:r>
            <w:r>
              <w:rPr>
                <w:sz w:val="18"/>
                <w:szCs w:val="18"/>
              </w:rPr>
              <w:t xml:space="preserve">tax returns only.</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600"/>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600"/>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التكلفة أو صافي القيمة القابلة للتحقق، أيهما أقل</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العجز في المخزون (الفاقد)</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هامش الربح العادي</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نسبة التكلفة إلى سعر التجزئة</w:t>
            </w:r>
          </w:p>
        </w:tc>
      </w:tr>
    </w:tbl>
    <w:p/>
    <w:p>
      <w:pPr>
        <w:spacing w:before="24" w:after="24"/>
        <w:ind w:left="300" w:hanging="300"/>
      </w:pPr>
      <w:r>
        <w:rPr>
          <w:b/>
          <w:bCs/>
          <w:color w:val="353A7C"/>
          <w:sz w:val="18"/>
          <w:szCs w:val="18"/>
        </w:rPr>
        <w:t xml:space="preserve">21.  </w:t>
      </w:r>
      <w:r>
        <w:rPr>
          <w:sz w:val="18"/>
          <w:szCs w:val="18"/>
        </w:rPr>
        <w:t xml:space="preserve">lower of cost and net realizable value (LCNRV)</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normal profit margin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shrinkage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cost-to-retail ratio</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A company sells custom-built industrial ovens, each with a different cost. Which method should it recommend?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Weighted average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Specific identification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retail inventory method</w:t>
            </w:r>
          </w:p>
        </w:tc>
      </w:tr>
    </w:tbl>
    <w:p>
      <w:pPr>
        <w:spacing w:before="40" w:after="16"/>
        <w:ind w:left="300" w:hanging="300"/>
      </w:pPr>
      <w:r>
        <w:rPr>
          <w:b/>
          <w:bCs/>
          <w:color w:val="353A7C"/>
          <w:sz w:val="19"/>
          <w:szCs w:val="19"/>
        </w:rPr>
        <w:t xml:space="preserve">26.  </w:t>
      </w:r>
      <w:r>
        <w:rPr>
          <w:sz w:val="19"/>
          <w:szCs w:val="19"/>
        </w:rPr>
        <w:t xml:space="preserve">A U.S. subsidiary reports under U.S. GAAP, but its parent prepares IFRS group statements. The parent wants one method for group reporting. Which recommendation fits best?</w:t>
      </w:r>
    </w:p>
    <w:p>
      <w:pPr>
        <w:spacing w:after="18"/>
        <w:ind w:left="560" w:hanging="260"/>
      </w:pPr>
      <w:r>
        <w:rPr>
          <w:b/>
          <w:bCs/>
          <w:color w:val="8186EF"/>
          <w:sz w:val="18"/>
          <w:szCs w:val="18"/>
        </w:rPr>
        <w:t xml:space="preserve">A. </w:t>
      </w:r>
      <w:r>
        <w:rPr>
          <w:sz w:val="18"/>
          <w:szCs w:val="18"/>
        </w:rPr>
        <w:t xml:space="preserve">FIFO or weighted average, so the same records work for the IFRS group statements</w:t>
      </w:r>
    </w:p>
    <w:p>
      <w:pPr>
        <w:spacing w:after="18"/>
        <w:ind w:left="560" w:hanging="260"/>
      </w:pPr>
      <w:r>
        <w:rPr>
          <w:b/>
          <w:bCs/>
          <w:color w:val="8186EF"/>
          <w:sz w:val="18"/>
          <w:szCs w:val="18"/>
        </w:rPr>
        <w:t xml:space="preserve">B. </w:t>
      </w:r>
      <w:r>
        <w:rPr>
          <w:sz w:val="18"/>
          <w:szCs w:val="18"/>
        </w:rPr>
        <w:t xml:space="preserve">LIFO, because the subsidiary reports under U.S. GAAP</w:t>
      </w:r>
    </w:p>
    <w:p>
      <w:pPr>
        <w:spacing w:after="18"/>
        <w:ind w:left="560" w:hanging="260"/>
      </w:pPr>
      <w:r>
        <w:rPr>
          <w:b/>
          <w:bCs/>
          <w:color w:val="8186EF"/>
          <w:sz w:val="18"/>
          <w:szCs w:val="18"/>
        </w:rPr>
        <w:t xml:space="preserve">C. </w:t>
      </w:r>
      <w:r>
        <w:rPr>
          <w:sz w:val="18"/>
          <w:szCs w:val="18"/>
        </w:rPr>
        <w:t xml:space="preserve">LIFO for the subsidiary and the retail method for the group</w:t>
      </w:r>
    </w:p>
    <w:p>
      <w:pPr>
        <w:spacing w:after="18"/>
        <w:ind w:left="560" w:hanging="260"/>
      </w:pPr>
      <w:r>
        <w:rPr>
          <w:b/>
          <w:bCs/>
          <w:color w:val="8186EF"/>
          <w:sz w:val="18"/>
          <w:szCs w:val="18"/>
        </w:rPr>
        <w:t xml:space="preserve">D. </w:t>
      </w:r>
      <w:r>
        <w:rPr>
          <w:sz w:val="18"/>
          <w:szCs w:val="18"/>
        </w:rPr>
        <w:t xml:space="preserve">Specific identification, to avoid the IFRS rules</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figure from this handout. Label every part and fill in every box.</w:t>
      </w:r>
    </w:p>
    <w:p>
      <w:pPr>
        <w:spacing w:after="40" w:before="90"/>
        <w:jc w:val="center"/>
      </w:pPr>
      <w:r>
        <w:drawing>
          <wp:inline distT="0" distB="0" distL="0" distR="0">
            <wp:extent cx="5734050" cy="147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4787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lower of cost and net realizable value (LCNRV)  ·  cost-to-retail ratio  ·  normal profit margin  ·  shrinkage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8.3</w:t>
      </w:r>
    </w:p>
    <w:p>
      <w:pPr>
        <w:spacing w:after="8"/>
      </w:pPr>
      <w:r>
        <w:rPr>
          <w:color w:val="23265A"/>
          <w:sz w:val="22"/>
          <w:szCs w:val="22"/>
        </w:rPr>
        <w:t xml:space="preserve">The retail inventory method and the gross profit method</w:t>
      </w:r>
    </w:p>
    <w:p>
      <w:pPr>
        <w:spacing w:after="130"/>
      </w:pPr>
      <w:r>
        <w:rPr>
          <w:color w:val="6B7280"/>
          <w:sz w:val="20"/>
          <w:szCs w:val="20"/>
        </w:rPr>
        <w:t xml:space="preserve">section 8.3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64"/>
        <w:gridCol w:w="2144"/>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28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11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283"/>
            <w:tcMar>
              <w:top w:type="dxa" w:w="50"/>
              <w:left w:type="dxa" w:w="110"/>
              <w:bottom w:type="dxa" w:w="50"/>
              <w:right w:type="dxa" w:w="110"/>
            </w:tcMar>
          </w:tcPr>
          <w:p>
            <w:pPr>
              <w:spacing w:before="26" w:after="26"/>
            </w:pPr>
            <w:r>
              <w:rPr>
                <w:color w:val="232733"/>
                <w:sz w:val="16"/>
                <w:szCs w:val="16"/>
              </w:rPr>
              <w:t xml:space="preserve">The retail inventory method and the gross profit method</w:t>
            </w:r>
          </w:p>
        </w:tc>
        <w:tc>
          <w:tcPr>
            <w:tcW w:type="pct" w:w="1117"/>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600"/>
            <w:tcMar>
              <w:top w:type="dxa" w:w="50"/>
              <w:left w:type="dxa" w:w="110"/>
              <w:bottom w:type="dxa" w:w="50"/>
              <w:right w:type="dxa" w:w="110"/>
            </w:tcMar>
          </w:tcPr>
          <w:p>
            <w:pPr>
              <w:spacing w:before="26" w:after="26"/>
            </w:pPr>
            <w:r>
              <w:rPr>
                <w:color w:val="232733"/>
                <w:sz w:val="16"/>
                <w:szCs w:val="16"/>
              </w:rPr>
              <w:t xml:space="preserve">Spiral review (Chapter 7). A FIFO company moves from a periodic to a perpetual system. What happens to cost of goods sold?</w:t>
            </w:r>
          </w:p>
        </w:tc>
      </w:tr>
      <w:tr>
        <w:tc>
          <w:tcPr>
            <w:tcW w:type="pct" w:w="128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117"/>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item-by-item basis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ceiling   ·   cost-to-retail ratio   ·   markup   ·   conventional retail method   ·   replacement cost   ·   retail inventory method</w:t>
      </w:r>
    </w:p>
    <w:p>
      <w:pPr>
        <w:spacing w:before="36" w:after="36"/>
        <w:ind w:left="300"/>
      </w:pPr>
      <w:r>
        <w:rPr>
          <w:sz w:val="19"/>
          <w:szCs w:val="19"/>
        </w:rPr>
        <w:t xml:space="preserve">The </w:t>
      </w:r>
      <w:r>
        <w:rPr>
          <w:u w:val="single"/>
          <w:sz w:val="19"/>
          <w:szCs w:val="19"/>
        </w:rPr>
        <w:t xml:space="preserve">                         </w:t>
      </w:r>
      <w:r>
        <w:rPr>
          <w:sz w:val="19"/>
          <w:szCs w:val="19"/>
        </w:rPr>
        <w:t xml:space="preserve"> estimates ending inventory at cost from retail prices. It uses a </w:t>
      </w:r>
      <w:r>
        <w:rPr>
          <w:u w:val="single"/>
          <w:sz w:val="19"/>
          <w:szCs w:val="19"/>
        </w:rPr>
        <w:t xml:space="preserve">                      </w:t>
      </w:r>
      <w:r>
        <w:rPr>
          <w:sz w:val="19"/>
          <w:szCs w:val="19"/>
        </w:rPr>
        <w:t xml:space="preserve">: goods available at cost divided by goods available at retail. A </w:t>
      </w:r>
      <w:r>
        <w:rPr>
          <w:u w:val="single"/>
          <w:sz w:val="19"/>
          <w:szCs w:val="19"/>
        </w:rPr>
        <w:t xml:space="preserve">           </w:t>
      </w:r>
      <w:r>
        <w:rPr>
          <w:sz w:val="19"/>
          <w:szCs w:val="19"/>
        </w:rPr>
        <w:t xml:space="preserve"> raises the selling price above the original retail price. The </w:t>
      </w:r>
      <w:r>
        <w:rPr>
          <w:u w:val="single"/>
          <w:sz w:val="19"/>
          <w:szCs w:val="19"/>
        </w:rPr>
        <w:t xml:space="preserve">                            </w:t>
      </w:r>
      <w:r>
        <w:rPr>
          <w:sz w:val="19"/>
          <w:szCs w:val="19"/>
        </w:rPr>
        <w:t xml:space="preserve"> includes net markups in the ratio but leaves out net markdowns.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ceiling   ·   conventional retail method   ·   replacement cost   ·   cost-to-retail ratio   ·   markup</w:t>
      </w:r>
    </w:p>
    <w:p>
      <w:pPr>
        <w:spacing w:before="36" w:after="36"/>
        <w:ind w:left="300"/>
      </w:pPr>
      <w:r>
        <w:rPr>
          <w:sz w:val="19"/>
          <w:szCs w:val="19"/>
        </w:rPr>
        <w:t xml:space="preserve">It uses a </w:t>
      </w:r>
      <w:r>
        <w:rPr>
          <w:u w:val="single"/>
          <w:sz w:val="19"/>
          <w:szCs w:val="19"/>
        </w:rPr>
        <w:t xml:space="preserve">                      </w:t>
      </w:r>
      <w:r>
        <w:rPr>
          <w:sz w:val="19"/>
          <w:szCs w:val="19"/>
        </w:rPr>
        <w:t xml:space="preserve">: goods available at cost divided by goods available at retail. A </w:t>
      </w:r>
      <w:r>
        <w:rPr>
          <w:u w:val="single"/>
          <w:sz w:val="19"/>
          <w:szCs w:val="19"/>
        </w:rPr>
        <w:t xml:space="preserve">           </w:t>
      </w:r>
      <w:r>
        <w:rPr>
          <w:sz w:val="19"/>
          <w:szCs w:val="19"/>
        </w:rPr>
        <w:t xml:space="preserve"> raises the selling price above the original retail price. The </w:t>
      </w:r>
      <w:r>
        <w:rPr>
          <w:u w:val="single"/>
          <w:sz w:val="19"/>
          <w:szCs w:val="19"/>
        </w:rPr>
        <w:t xml:space="preserve">                            </w:t>
      </w:r>
      <w:r>
        <w:rPr>
          <w:sz w:val="19"/>
          <w:szCs w:val="19"/>
        </w:rPr>
        <w:t xml:space="preserve"> includes net markups in the ratio but leaves out net markdowns.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ceiling   ·   shrinkage   ·   replacement cost   ·   markup</w:t>
      </w:r>
    </w:p>
    <w:p>
      <w:pPr>
        <w:spacing w:before="36" w:after="36"/>
        <w:ind w:left="300"/>
      </w:pPr>
      <w:r>
        <w:rPr>
          <w:sz w:val="19"/>
          <w:szCs w:val="19"/>
        </w:rPr>
        <w:t xml:space="preserve">For example, a </w:t>
      </w:r>
      <w:r>
        <w:rPr>
          <w:u w:val="single"/>
          <w:sz w:val="19"/>
          <w:szCs w:val="19"/>
        </w:rPr>
        <w:t xml:space="preserve">           </w:t>
      </w:r>
      <w:r>
        <w:rPr>
          <w:sz w:val="19"/>
          <w:szCs w:val="19"/>
        </w:rPr>
        <w:t xml:space="preserve"> of one half on cost is a gross profit rate of one third on sales. Conventional retail: markups IN the ratio, markdowns OUT. Freight-in goes in the cost column only; normal </w:t>
      </w:r>
      <w:r>
        <w:rPr>
          <w:u w:val="single"/>
          <w:sz w:val="19"/>
          <w:szCs w:val="19"/>
        </w:rPr>
        <w:t xml:space="preserve">           </w:t>
      </w:r>
      <w:r>
        <w:rPr>
          <w:sz w:val="19"/>
          <w:szCs w:val="19"/>
        </w:rPr>
        <w:t xml:space="preserve"> is deducted from retail after the ratio.</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retail inventory method and the gross profit method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cost column of Freight-in as “add”.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7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7353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24"/>
        <w:gridCol w:w="864"/>
        <w:gridCol w:w="421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356"/>
            <w:tcMar>
              <w:top w:type="dxa" w:w="50"/>
              <w:left w:type="dxa" w:w="110"/>
              <w:bottom w:type="dxa" w:w="50"/>
              <w:right w:type="dxa" w:w="110"/>
            </w:tcMar>
          </w:tcPr>
          <w:p>
            <w:pPr>
              <w:spacing w:before="26" w:after="26"/>
            </w:pPr>
            <w:r>
              <w:rPr>
                <w:b/>
                <w:bCs/>
                <w:color w:val="353A7C"/>
                <w:sz w:val="15"/>
                <w:szCs w:val="15"/>
              </w:rPr>
              <w:t xml:space="preserve">Item</w:t>
            </w:r>
          </w:p>
        </w:tc>
        <w:tc>
          <w:tcPr>
            <w:tcW w:type="pct" w:w="450"/>
            <w:tcMar>
              <w:top w:type="dxa" w:w="50"/>
              <w:left w:type="dxa" w:w="110"/>
              <w:bottom w:type="dxa" w:w="50"/>
              <w:right w:type="dxa" w:w="110"/>
            </w:tcMar>
          </w:tcPr>
          <w:p>
            <w:pPr>
              <w:spacing w:before="26" w:after="26"/>
            </w:pPr>
            <w:r>
              <w:rPr>
                <w:b/>
                <w:bCs/>
                <w:color w:val="353A7C"/>
                <w:sz w:val="15"/>
                <w:szCs w:val="15"/>
              </w:rPr>
              <w:t xml:space="preserve">Cost column</w:t>
            </w:r>
          </w:p>
        </w:tc>
        <w:tc>
          <w:tcPr>
            <w:tcW w:type="pct" w:w="2194"/>
            <w:tcMar>
              <w:top w:type="dxa" w:w="50"/>
              <w:left w:type="dxa" w:w="110"/>
              <w:bottom w:type="dxa" w:w="50"/>
              <w:right w:type="dxa" w:w="110"/>
            </w:tcMar>
          </w:tcPr>
          <w:p>
            <w:pPr>
              <w:spacing w:before="26" w:after="26"/>
            </w:pPr>
            <w:r>
              <w:rPr>
                <w:b/>
                <w:bCs/>
                <w:color w:val="353A7C"/>
                <w:sz w:val="15"/>
                <w:szCs w:val="15"/>
              </w:rPr>
              <w:t xml:space="preserve">Retail column</w:t>
            </w:r>
          </w:p>
        </w:tc>
      </w:tr>
      <w:tr>
        <w:tc>
          <w:tcPr>
            <w:tcW w:type="pct" w:w="2356"/>
            <w:tcMar>
              <w:top w:type="dxa" w:w="50"/>
              <w:left w:type="dxa" w:w="110"/>
              <w:bottom w:type="dxa" w:w="50"/>
              <w:right w:type="dxa" w:w="110"/>
            </w:tcMar>
          </w:tcPr>
          <w:p>
            <w:pPr>
              <w:spacing w:before="26" w:after="26"/>
            </w:pPr>
            <w:r>
              <w:rPr>
                <w:color w:val="232733"/>
                <w:sz w:val="16"/>
                <w:szCs w:val="16"/>
              </w:rPr>
              <w:t xml:space="preserve">Freight-in</w:t>
            </w:r>
          </w:p>
        </w:tc>
        <w:tc>
          <w:tcPr>
            <w:tcW w:type="pct" w:w="450"/>
            <w:tcMar>
              <w:top w:type="dxa" w:w="50"/>
              <w:left w:type="dxa" w:w="110"/>
              <w:bottom w:type="dxa" w:w="50"/>
              <w:right w:type="dxa" w:w="110"/>
            </w:tcMar>
          </w:tcPr>
          <w:p>
            <w:pPr>
              <w:spacing w:before="26" w:after="26"/>
            </w:pPr>
            <w:r>
              <w:rPr>
                <w:color w:val="232733"/>
                <w:sz w:val="16"/>
                <w:szCs w:val="16"/>
              </w:rPr>
              <w:t xml:space="preserve">add</w:t>
            </w:r>
          </w:p>
        </w:tc>
        <w:tc>
          <w:tcPr>
            <w:tcW w:type="pct" w:w="2194"/>
            <w:tcMar>
              <w:top w:type="dxa" w:w="50"/>
              <w:left w:type="dxa" w:w="110"/>
              <w:bottom w:type="dxa" w:w="50"/>
              <w:right w:type="dxa" w:w="110"/>
            </w:tcMar>
          </w:tcPr>
          <w:p>
            <w:pPr>
              <w:spacing w:before="26" w:after="26"/>
            </w:pPr>
            <w:r>
              <w:rPr>
                <w:color w:val="232733"/>
                <w:sz w:val="16"/>
                <w:szCs w:val="16"/>
              </w:rPr>
              <w:t xml:space="preserve">—</w:t>
            </w:r>
          </w:p>
        </w:tc>
      </w:tr>
      <w:tr>
        <w:tc>
          <w:tcPr>
            <w:tcW w:type="pct" w:w="2356"/>
            <w:shd w:fill="FBFAF6" w:val="clear"/>
            <w:tcMar>
              <w:top w:type="dxa" w:w="50"/>
              <w:left w:type="dxa" w:w="110"/>
              <w:bottom w:type="dxa" w:w="50"/>
              <w:right w:type="dxa" w:w="110"/>
            </w:tcMar>
          </w:tcPr>
          <w:p>
            <w:pPr>
              <w:spacing w:before="26" w:after="26"/>
            </w:pPr>
            <w:r>
              <w:rPr>
                <w:color w:val="232733"/>
                <w:sz w:val="16"/>
                <w:szCs w:val="16"/>
              </w:rPr>
              <w:t xml:space="preserve">Purchase returns</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deduct</w:t>
            </w:r>
          </w:p>
        </w:tc>
        <w:tc>
          <w:tcPr>
            <w:tcW w:type="pct" w:w="2194"/>
            <w:shd w:fill="FBFAF6" w:val="clear"/>
            <w:tcMar>
              <w:top w:type="dxa" w:w="50"/>
              <w:left w:type="dxa" w:w="110"/>
              <w:bottom w:type="dxa" w:w="50"/>
              <w:right w:type="dxa" w:w="110"/>
            </w:tcMar>
          </w:tcPr>
          <w:p>
            <w:pPr>
              <w:spacing w:before="26" w:after="26"/>
            </w:pPr>
            <w:r>
              <w:rPr>
                <w:color w:val="232733"/>
                <w:sz w:val="16"/>
                <w:szCs w:val="16"/>
              </w:rPr>
              <w:t xml:space="preserve">deduct</w:t>
            </w:r>
          </w:p>
        </w:tc>
      </w:tr>
      <w:tr>
        <w:tc>
          <w:tcPr>
            <w:tcW w:type="pct" w:w="2356"/>
            <w:tcMar>
              <w:top w:type="dxa" w:w="50"/>
              <w:left w:type="dxa" w:w="110"/>
              <w:bottom w:type="dxa" w:w="50"/>
              <w:right w:type="dxa" w:w="110"/>
            </w:tcMar>
          </w:tcPr>
          <w:p>
            <w:pPr>
              <w:spacing w:before="26" w:after="26"/>
            </w:pPr>
            <w:r>
              <w:rPr>
                <w:color w:val="232733"/>
                <w:sz w:val="16"/>
                <w:szCs w:val="16"/>
              </w:rPr>
              <w:t xml:space="preserve">Purchase discounts</w:t>
            </w:r>
          </w:p>
        </w:tc>
        <w:tc>
          <w:tcPr>
            <w:tcW w:type="pct" w:w="450"/>
            <w:tcMar>
              <w:top w:type="dxa" w:w="50"/>
              <w:left w:type="dxa" w:w="110"/>
              <w:bottom w:type="dxa" w:w="50"/>
              <w:right w:type="dxa" w:w="110"/>
            </w:tcMar>
          </w:tcPr>
          <w:p>
            <w:pPr>
              <w:spacing w:before="26" w:after="26"/>
            </w:pPr>
            <w:r>
              <w:rPr>
                <w:color w:val="232733"/>
                <w:sz w:val="16"/>
                <w:szCs w:val="16"/>
              </w:rPr>
              <w:t xml:space="preserve">deduct</w:t>
            </w:r>
          </w:p>
        </w:tc>
        <w:tc>
          <w:tcPr>
            <w:tcW w:type="pct" w:w="2194"/>
            <w:tcMar>
              <w:top w:type="dxa" w:w="50"/>
              <w:left w:type="dxa" w:w="110"/>
              <w:bottom w:type="dxa" w:w="50"/>
              <w:right w:type="dxa" w:w="110"/>
            </w:tcMar>
          </w:tcPr>
          <w:p>
            <w:pPr>
              <w:spacing w:before="26" w:after="26"/>
            </w:pPr>
            <w:r>
              <w:rPr>
                <w:color w:val="232733"/>
                <w:sz w:val="16"/>
                <w:szCs w:val="16"/>
              </w:rPr>
              <w:t xml:space="preserve">—</w:t>
            </w:r>
          </w:p>
        </w:tc>
      </w:tr>
      <w:tr>
        <w:tc>
          <w:tcPr>
            <w:tcW w:type="pct" w:w="2356"/>
            <w:shd w:fill="FBFAF6" w:val="clear"/>
            <w:tcMar>
              <w:top w:type="dxa" w:w="50"/>
              <w:left w:type="dxa" w:w="110"/>
              <w:bottom w:type="dxa" w:w="50"/>
              <w:right w:type="dxa" w:w="110"/>
            </w:tcMar>
          </w:tcPr>
          <w:p>
            <w:pPr>
              <w:spacing w:before="26" w:after="26"/>
            </w:pPr>
            <w:r>
              <w:rPr>
                <w:color w:val="232733"/>
                <w:sz w:val="16"/>
                <w:szCs w:val="16"/>
              </w:rPr>
              <w:t xml:space="preserve">Net markups</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w:t>
            </w:r>
          </w:p>
        </w:tc>
        <w:tc>
          <w:tcPr>
            <w:tcW w:type="pct" w:w="2194"/>
            <w:shd w:fill="FBFAF6" w:val="clear"/>
            <w:tcMar>
              <w:top w:type="dxa" w:w="50"/>
              <w:left w:type="dxa" w:w="110"/>
              <w:bottom w:type="dxa" w:w="50"/>
              <w:right w:type="dxa" w:w="110"/>
            </w:tcMar>
          </w:tcPr>
          <w:p>
            <w:pPr>
              <w:spacing w:before="26" w:after="26"/>
            </w:pPr>
            <w:r>
              <w:rPr>
                <w:color w:val="232733"/>
                <w:sz w:val="16"/>
                <w:szCs w:val="16"/>
              </w:rPr>
              <w:t xml:space="preserve">add (before the ratio)</w:t>
            </w:r>
          </w:p>
        </w:tc>
      </w:tr>
      <w:tr>
        <w:tc>
          <w:tcPr>
            <w:tcW w:type="pct" w:w="2356"/>
            <w:tcMar>
              <w:top w:type="dxa" w:w="50"/>
              <w:left w:type="dxa" w:w="110"/>
              <w:bottom w:type="dxa" w:w="50"/>
              <w:right w:type="dxa" w:w="110"/>
            </w:tcMar>
          </w:tcPr>
          <w:p>
            <w:pPr>
              <w:spacing w:before="26" w:after="26"/>
            </w:pPr>
            <w:r>
              <w:rPr>
                <w:color w:val="232733"/>
                <w:sz w:val="16"/>
                <w:szCs w:val="16"/>
              </w:rPr>
              <w:t xml:space="preserve">Net markdowns</w:t>
            </w:r>
          </w:p>
        </w:tc>
        <w:tc>
          <w:tcPr>
            <w:tcW w:type="pct" w:w="450"/>
            <w:tcMar>
              <w:top w:type="dxa" w:w="50"/>
              <w:left w:type="dxa" w:w="110"/>
              <w:bottom w:type="dxa" w:w="50"/>
              <w:right w:type="dxa" w:w="110"/>
            </w:tcMar>
          </w:tcPr>
          <w:p>
            <w:pPr>
              <w:spacing w:before="26" w:after="26"/>
            </w:pPr>
            <w:r>
              <w:rPr>
                <w:color w:val="232733"/>
                <w:sz w:val="16"/>
                <w:szCs w:val="16"/>
              </w:rPr>
              <w:t xml:space="preserve">—</w:t>
            </w:r>
          </w:p>
        </w:tc>
        <w:tc>
          <w:tcPr>
            <w:tcW w:type="pct" w:w="2194"/>
            <w:tcMar>
              <w:top w:type="dxa" w:w="50"/>
              <w:left w:type="dxa" w:w="110"/>
              <w:bottom w:type="dxa" w:w="50"/>
              <w:right w:type="dxa" w:w="110"/>
            </w:tcMar>
          </w:tcPr>
          <w:p>
            <w:pPr>
              <w:spacing w:before="26" w:after="26"/>
            </w:pPr>
            <w:r>
              <w:rPr>
                <w:color w:val="232733"/>
                <w:sz w:val="16"/>
                <w:szCs w:val="16"/>
              </w:rPr>
              <w:t xml:space="preserve">deduct (after the conventional ratio)</w:t>
            </w:r>
          </w:p>
        </w:tc>
      </w:tr>
      <w:tr>
        <w:tc>
          <w:tcPr>
            <w:tcW w:type="pct" w:w="2356"/>
            <w:shd w:fill="FBFAF6" w:val="clear"/>
            <w:tcMar>
              <w:top w:type="dxa" w:w="50"/>
              <w:left w:type="dxa" w:w="110"/>
              <w:bottom w:type="dxa" w:w="50"/>
              <w:right w:type="dxa" w:w="110"/>
            </w:tcMar>
          </w:tcPr>
          <w:p>
            <w:pPr>
              <w:spacing w:before="26" w:after="26"/>
            </w:pPr>
            <w:r>
              <w:rPr>
                <w:color w:val="232733"/>
                <w:sz w:val="16"/>
                <w:szCs w:val="16"/>
              </w:rPr>
              <w:t xml:space="preserve">Net sales</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w:t>
            </w:r>
          </w:p>
        </w:tc>
        <w:tc>
          <w:tcPr>
            <w:tcW w:type="pct" w:w="2194"/>
            <w:shd w:fill="FBFAF6" w:val="clear"/>
            <w:tcMar>
              <w:top w:type="dxa" w:w="50"/>
              <w:left w:type="dxa" w:w="110"/>
              <w:bottom w:type="dxa" w:w="50"/>
              <w:right w:type="dxa" w:w="110"/>
            </w:tcMar>
          </w:tcPr>
          <w:p>
            <w:pPr>
              <w:spacing w:before="26" w:after="26"/>
            </w:pPr>
            <w:r>
              <w:rPr>
                <w:color w:val="232733"/>
                <w:sz w:val="16"/>
                <w:szCs w:val="16"/>
              </w:rPr>
              <w:t xml:space="preserve">deduct</w:t>
            </w:r>
          </w:p>
        </w:tc>
      </w:tr>
      <w:tr>
        <w:tc>
          <w:tcPr>
            <w:tcW w:type="pct" w:w="2356"/>
            <w:tcMar>
              <w:top w:type="dxa" w:w="50"/>
              <w:left w:type="dxa" w:w="110"/>
              <w:bottom w:type="dxa" w:w="50"/>
              <w:right w:type="dxa" w:w="110"/>
            </w:tcMar>
          </w:tcPr>
          <w:p>
            <w:pPr>
              <w:spacing w:before="26" w:after="26"/>
            </w:pPr>
            <w:r>
              <w:rPr>
                <w:color w:val="232733"/>
                <w:sz w:val="16"/>
                <w:szCs w:val="16"/>
              </w:rPr>
              <w:t xml:space="preserve">Normal shrinkage and employee discounts</w:t>
            </w:r>
          </w:p>
        </w:tc>
        <w:tc>
          <w:tcPr>
            <w:tcW w:type="pct" w:w="450"/>
            <w:tcMar>
              <w:top w:type="dxa" w:w="50"/>
              <w:left w:type="dxa" w:w="110"/>
              <w:bottom w:type="dxa" w:w="50"/>
              <w:right w:type="dxa" w:w="110"/>
            </w:tcMar>
          </w:tcPr>
          <w:p>
            <w:pPr>
              <w:spacing w:before="26" w:after="26"/>
            </w:pPr>
            <w:r>
              <w:rPr>
                <w:color w:val="232733"/>
                <w:sz w:val="16"/>
                <w:szCs w:val="16"/>
              </w:rPr>
              <w:t xml:space="preserve">—</w:t>
            </w:r>
          </w:p>
        </w:tc>
        <w:tc>
          <w:tcPr>
            <w:tcW w:type="pct" w:w="2194"/>
            <w:tcMar>
              <w:top w:type="dxa" w:w="50"/>
              <w:left w:type="dxa" w:w="110"/>
              <w:bottom w:type="dxa" w:w="50"/>
              <w:right w:type="dxa" w:w="110"/>
            </w:tcMar>
          </w:tcPr>
          <w:p>
            <w:pPr>
              <w:spacing w:before="26" w:after="26"/>
            </w:pPr>
            <w:r>
              <w:rPr>
                <w:color w:val="232733"/>
                <w:sz w:val="16"/>
                <w:szCs w:val="16"/>
              </w:rPr>
              <w:t xml:space="preserve">deduct (after the ratio)</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5.  </w:t>
      </w:r>
      <w:r>
        <w:rPr>
          <w:sz w:val="19"/>
          <w:szCs w:val="19"/>
        </w:rPr>
        <w:t xml:space="preserve">Which cost column does the book give for Freight-in?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deduct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add</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6.  </w:t>
      </w:r>
      <w:r>
        <w:rPr>
          <w:sz w:val="19"/>
          <w:szCs w:val="19"/>
        </w:rPr>
        <w:t xml:space="preserve">Which cost column does the book give for Purchase returns?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deduct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add</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7.  </w:t>
      </w:r>
      <w:r>
        <w:rPr>
          <w:sz w:val="19"/>
          <w:szCs w:val="19"/>
        </w:rPr>
        <w:t xml:space="preserve">Which cost column does the book give for Purchase discounts?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add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deduct</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8.  </w:t>
      </w:r>
      <w:r>
        <w:rPr>
          <w:sz w:val="19"/>
          <w:szCs w:val="19"/>
        </w:rPr>
        <w:t xml:space="preserve">Which retail column does the book give for Net markups?</w:t>
      </w:r>
    </w:p>
    <w:p>
      <w:pPr>
        <w:spacing w:after="18"/>
        <w:ind w:left="560" w:hanging="260"/>
      </w:pPr>
      <w:r>
        <w:rPr>
          <w:b/>
          <w:bCs/>
          <w:color w:val="8186EF"/>
          <w:sz w:val="18"/>
          <w:szCs w:val="18"/>
        </w:rPr>
        <w:t xml:space="preserve">A. </w:t>
      </w:r>
      <w:r>
        <w:rPr>
          <w:sz w:val="18"/>
          <w:szCs w:val="18"/>
        </w:rPr>
        <w:t xml:space="preserve">deduct</w:t>
      </w:r>
    </w:p>
    <w:p>
      <w:pPr>
        <w:spacing w:after="18"/>
        <w:ind w:left="560" w:hanging="260"/>
      </w:pPr>
      <w:r>
        <w:rPr>
          <w:b/>
          <w:bCs/>
          <w:color w:val="8186EF"/>
          <w:sz w:val="18"/>
          <w:szCs w:val="18"/>
        </w:rPr>
        <w:t xml:space="preserve">B. </w:t>
      </w:r>
      <w:r>
        <w:rPr>
          <w:sz w:val="18"/>
          <w:szCs w:val="18"/>
        </w:rPr>
        <w:t xml:space="preserve">add (before the ratio)</w:t>
      </w:r>
    </w:p>
    <w:p>
      <w:pPr>
        <w:spacing w:after="18"/>
        <w:ind w:left="560" w:hanging="260"/>
      </w:pPr>
      <w:r>
        <w:rPr>
          <w:b/>
          <w:bCs/>
          <w:color w:val="8186EF"/>
          <w:sz w:val="18"/>
          <w:szCs w:val="18"/>
        </w:rPr>
        <w:t xml:space="preserve">C. </w:t>
      </w:r>
      <w:r>
        <w:rPr>
          <w:sz w:val="18"/>
          <w:szCs w:val="18"/>
        </w:rPr>
        <w:t xml:space="preserve">deduct (after the conventional ratio)</w:t>
      </w:r>
    </w:p>
    <w:p>
      <w:pPr>
        <w:spacing w:after="18"/>
        <w:ind w:left="560" w:hanging="260"/>
      </w:pPr>
      <w:r>
        <w:rPr>
          <w:b/>
          <w:bCs/>
          <w:color w:val="8186EF"/>
          <w:sz w:val="18"/>
          <w:szCs w:val="18"/>
        </w:rPr>
        <w:t xml:space="preserve">D. </w:t>
      </w:r>
      <w:r>
        <w:rPr>
          <w:sz w:val="18"/>
          <w:szCs w:val="18"/>
        </w:rPr>
        <w:t xml:space="preserve">deduct (after the ratio)</w:t>
      </w:r>
    </w:p>
    <w:p>
      <w:pPr>
        <w:spacing w:before="30" w:after="30"/>
        <w:ind w:left="300" w:hanging="300"/>
      </w:pPr>
      <w:r>
        <w:rPr>
          <w:b/>
          <w:bCs/>
          <w:color w:val="353A7C"/>
          <w:sz w:val="19"/>
          <w:szCs w:val="19"/>
        </w:rPr>
        <w:t xml:space="preserve">9.  </w:t>
      </w:r>
      <w:r>
        <w:rPr>
          <w:sz w:val="19"/>
          <w:szCs w:val="19"/>
        </w:rPr>
        <w:t xml:space="preserve">The book gives the retail column of Purchase returns as “—”.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cost column. Every item belongs to exactly one group.</w:t>
            </w:r>
          </w:p>
        </w:tc>
      </w:tr>
    </w:tbl>
    <w:p>
      <w:pPr>
        <w:spacing w:before="20" w:after="40"/>
      </w:pPr>
      <w:r>
        <w:rPr>
          <w:color w:val="6B7280"/>
          <w:sz w:val="16"/>
          <w:szCs w:val="16"/>
        </w:rPr>
        <w:t xml:space="preserve">the items:  </w:t>
      </w:r>
      <w:r>
        <w:rPr>
          <w:sz w:val="17"/>
          <w:szCs w:val="17"/>
        </w:rPr>
        <w:t xml:space="preserve">Freight-in   ·   Purchase returns   ·   Purchase discounts   ·   Net markups   ·   Net markdowns   ·   Net sales   ·   Normal shrinkage and employee discounts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3200"/>
        <w:gridCol w:w="3200"/>
        <w:gridCol w:w="3200"/>
      </w:tblGrid>
      <w:tr>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add</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deduct</w:t>
            </w:r>
          </w:p>
        </w:tc>
        <w:tc>
          <w:tcPr>
            <w:tcW w:type="pct" w:w="1667"/>
            <w:shd w:fill="2B6CB0" w:val="clear"/>
            <w:tcMar>
              <w:top w:type="dxa" w:w="50"/>
              <w:left w:type="dxa" w:w="110"/>
              <w:bottom w:type="dxa" w:w="50"/>
              <w:right w:type="dxa" w:w="110"/>
            </w:tcMar>
          </w:tcPr>
          <w:p>
            <w:pPr>
              <w:spacing w:before="32" w:after="32"/>
            </w:pPr>
            <w:r>
              <w:rPr>
                <w:b/>
                <w:bCs/>
                <w:color w:val="FFFFFF"/>
                <w:sz w:val="15"/>
                <w:szCs w:val="15"/>
              </w:rPr>
              <w:t xml:space="preserve">—</w:t>
            </w:r>
          </w:p>
        </w:tc>
      </w:tr>
      <w:tr>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667"/>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237"/>
        <w:gridCol w:w="2371"/>
      </w:tblGrid>
      <w:tr>
        <w:tc>
          <w:tcPr>
            <w:tcW w:type="pct" w:w="2600"/>
            <w:shd w:fill="353A7C" w:val="clear"/>
            <w:tcMar>
              <w:top w:type="dxa" w:w="50"/>
              <w:left w:type="dxa" w:w="110"/>
              <w:bottom w:type="dxa" w:w="50"/>
              <w:right w:type="dxa" w:w="110"/>
            </w:tcMar>
          </w:tcPr>
          <w:p>
            <w:pPr>
              <w:spacing w:before="34" w:after="34"/>
            </w:pPr>
            <w:r>
              <w:rPr>
                <w:b/>
                <w:bCs/>
                <w:color w:val="FFFFFF"/>
                <w:sz w:val="15"/>
                <w:szCs w:val="15"/>
              </w:rPr>
              <w:t xml:space="preserve">Item</w:t>
            </w:r>
          </w:p>
        </w:tc>
        <w:tc>
          <w:tcPr>
            <w:tcW w:type="pct" w:w="1165"/>
            <w:shd w:fill="353A7C" w:val="clear"/>
            <w:tcMar>
              <w:top w:type="dxa" w:w="50"/>
              <w:left w:type="dxa" w:w="110"/>
              <w:bottom w:type="dxa" w:w="50"/>
              <w:right w:type="dxa" w:w="110"/>
            </w:tcMar>
          </w:tcPr>
          <w:p>
            <w:pPr>
              <w:spacing w:before="34" w:after="34"/>
            </w:pPr>
            <w:r>
              <w:rPr>
                <w:b/>
                <w:bCs/>
                <w:color w:val="FFFFFF"/>
                <w:sz w:val="15"/>
                <w:szCs w:val="15"/>
              </w:rPr>
              <w:t xml:space="preserve">Cost column</w:t>
            </w:r>
          </w:p>
        </w:tc>
        <w:tc>
          <w:tcPr>
            <w:tcW w:type="pct" w:w="1235"/>
            <w:shd w:fill="353A7C" w:val="clear"/>
            <w:tcMar>
              <w:top w:type="dxa" w:w="50"/>
              <w:left w:type="dxa" w:w="110"/>
              <w:bottom w:type="dxa" w:w="50"/>
              <w:right w:type="dxa" w:w="110"/>
            </w:tcMar>
          </w:tcPr>
          <w:p>
            <w:pPr>
              <w:spacing w:before="34" w:after="34"/>
            </w:pPr>
            <w:r>
              <w:rPr>
                <w:b/>
                <w:bCs/>
                <w:color w:val="FFFFFF"/>
                <w:sz w:val="15"/>
                <w:szCs w:val="15"/>
              </w:rPr>
              <w:t xml:space="preserve">Retail column</w:t>
            </w:r>
          </w:p>
        </w:tc>
      </w:tr>
      <w:tr>
        <w:tc>
          <w:tcPr>
            <w:tcW w:type="pct" w:w="2600"/>
            <w:tcMar>
              <w:top w:type="dxa" w:w="50"/>
              <w:left w:type="dxa" w:w="110"/>
              <w:bottom w:type="dxa" w:w="50"/>
              <w:right w:type="dxa" w:w="110"/>
            </w:tcMar>
          </w:tcPr>
          <w:p>
            <w:pPr>
              <w:spacing w:before="32" w:after="32"/>
            </w:pPr>
            <w:r>
              <w:rPr>
                <w:sz w:val="16"/>
                <w:szCs w:val="16"/>
              </w:rPr>
              <w:t xml:space="preserve">Freight-in</w:t>
            </w:r>
          </w:p>
        </w:tc>
        <w:tc>
          <w:tcPr>
            <w:tcW w:type="pct" w:w="1165"/>
            <w:tcMar>
              <w:top w:type="dxa" w:w="50"/>
              <w:left w:type="dxa" w:w="110"/>
              <w:bottom w:type="dxa" w:w="50"/>
              <w:right w:type="dxa" w:w="110"/>
            </w:tcMar>
          </w:tcPr>
          <w:p>
            <w:pPr>
              <w:spacing w:before="32" w:after="32"/>
            </w:pPr>
            <w:r>
              <w:rPr>
                <w:sz w:val="16"/>
                <w:szCs w:val="16"/>
              </w:rPr>
              <w:t xml:space="preserve">add</w:t>
            </w:r>
          </w:p>
        </w:tc>
        <w:tc>
          <w:tcPr>
            <w:tcW w:type="pct" w:w="1235"/>
            <w:tcMar>
              <w:top w:type="dxa" w:w="50"/>
              <w:left w:type="dxa" w:w="110"/>
              <w:bottom w:type="dxa" w:w="50"/>
              <w:right w:type="dxa" w:w="110"/>
            </w:tcMar>
          </w:tcPr>
          <w:p>
            <w:pPr>
              <w:spacing w:before="32" w:after="32"/>
            </w:pPr>
            <w:r>
              <w:rPr>
                <w:sz w:val="16"/>
                <w:szCs w:val="16"/>
              </w:rPr>
              <w:t xml:space="preserve">—</w:t>
            </w:r>
          </w:p>
        </w:tc>
      </w:tr>
      <w:tr>
        <w:tc>
          <w:tcPr>
            <w:tcW w:type="pct" w:w="2600"/>
            <w:shd w:fill="FBFAF6" w:val="clear"/>
            <w:tcMar>
              <w:top w:type="dxa" w:w="50"/>
              <w:left w:type="dxa" w:w="110"/>
              <w:bottom w:type="dxa" w:w="50"/>
              <w:right w:type="dxa" w:w="110"/>
            </w:tcMar>
          </w:tcPr>
          <w:p>
            <w:pPr>
              <w:spacing w:before="32" w:after="32"/>
            </w:pPr>
            <w:r>
              <w:rPr>
                <w:sz w:val="16"/>
                <w:szCs w:val="16"/>
              </w:rPr>
              <w:t xml:space="preserve">Purchase returns</w:t>
            </w:r>
          </w:p>
        </w:tc>
        <w:tc>
          <w:tcPr>
            <w:tcW w:type="pct" w:w="1165"/>
            <w:shd w:fill="FFFFFF" w:val="clear"/>
            <w:tcMar>
              <w:top w:type="dxa" w:w="50"/>
              <w:left w:type="dxa" w:w="110"/>
              <w:bottom w:type="dxa" w:w="50"/>
              <w:right w:type="dxa" w:w="110"/>
            </w:tcMar>
          </w:tcPr>
          <w:p>
            <w:pPr>
              <w:spacing w:before="54" w:after="54"/>
            </w:pPr>
            <w:r>
              <w:rPr>
                <w:sz w:val="18"/>
                <w:szCs w:val="18"/>
              </w:rPr>
              <w:t xml:space="preserve"/>
            </w:r>
          </w:p>
        </w:tc>
        <w:tc>
          <w:tcPr>
            <w:tcW w:type="pct" w:w="123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Purchase discounts</w:t>
            </w:r>
          </w:p>
        </w:tc>
        <w:tc>
          <w:tcPr>
            <w:tcW w:type="pct" w:w="1165"/>
            <w:shd w:fill="FFFFFF" w:val="clear"/>
            <w:tcMar>
              <w:top w:type="dxa" w:w="50"/>
              <w:left w:type="dxa" w:w="110"/>
              <w:bottom w:type="dxa" w:w="50"/>
              <w:right w:type="dxa" w:w="110"/>
            </w:tcMar>
          </w:tcPr>
          <w:p>
            <w:pPr>
              <w:spacing w:before="54" w:after="54"/>
            </w:pPr>
            <w:r>
              <w:rPr>
                <w:sz w:val="18"/>
                <w:szCs w:val="18"/>
              </w:rPr>
              <w:t xml:space="preserve"/>
            </w:r>
          </w:p>
        </w:tc>
        <w:tc>
          <w:tcPr>
            <w:tcW w:type="pct" w:w="123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Net markups</w:t>
            </w:r>
          </w:p>
        </w:tc>
        <w:tc>
          <w:tcPr>
            <w:tcW w:type="pct" w:w="1165"/>
            <w:shd w:fill="FFFFFF" w:val="clear"/>
            <w:tcMar>
              <w:top w:type="dxa" w:w="50"/>
              <w:left w:type="dxa" w:w="110"/>
              <w:bottom w:type="dxa" w:w="50"/>
              <w:right w:type="dxa" w:w="110"/>
            </w:tcMar>
          </w:tcPr>
          <w:p>
            <w:pPr>
              <w:spacing w:before="54" w:after="54"/>
            </w:pPr>
            <w:r>
              <w:rPr>
                <w:sz w:val="18"/>
                <w:szCs w:val="18"/>
              </w:rPr>
              <w:t xml:space="preserve"/>
            </w:r>
          </w:p>
        </w:tc>
        <w:tc>
          <w:tcPr>
            <w:tcW w:type="pct" w:w="123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Net markdowns</w:t>
            </w:r>
          </w:p>
        </w:tc>
        <w:tc>
          <w:tcPr>
            <w:tcW w:type="pct" w:w="1165"/>
            <w:shd w:fill="FFFFFF" w:val="clear"/>
            <w:tcMar>
              <w:top w:type="dxa" w:w="50"/>
              <w:left w:type="dxa" w:w="110"/>
              <w:bottom w:type="dxa" w:w="50"/>
              <w:right w:type="dxa" w:w="110"/>
            </w:tcMar>
          </w:tcPr>
          <w:p>
            <w:pPr>
              <w:spacing w:before="54" w:after="54"/>
            </w:pPr>
            <w:r>
              <w:rPr>
                <w:sz w:val="18"/>
                <w:szCs w:val="18"/>
              </w:rPr>
              <w:t xml:space="preserve"/>
            </w:r>
          </w:p>
        </w:tc>
        <w:tc>
          <w:tcPr>
            <w:tcW w:type="pct" w:w="123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Net sales</w:t>
            </w:r>
          </w:p>
        </w:tc>
        <w:tc>
          <w:tcPr>
            <w:tcW w:type="pct" w:w="1165"/>
            <w:shd w:fill="FFFFFF" w:val="clear"/>
            <w:tcMar>
              <w:top w:type="dxa" w:w="50"/>
              <w:left w:type="dxa" w:w="110"/>
              <w:bottom w:type="dxa" w:w="50"/>
              <w:right w:type="dxa" w:w="110"/>
            </w:tcMar>
          </w:tcPr>
          <w:p>
            <w:pPr>
              <w:spacing w:before="54" w:after="54"/>
            </w:pPr>
            <w:r>
              <w:rPr>
                <w:sz w:val="18"/>
                <w:szCs w:val="18"/>
              </w:rPr>
              <w:t xml:space="preserve"/>
            </w:r>
          </w:p>
        </w:tc>
        <w:tc>
          <w:tcPr>
            <w:tcW w:type="pct" w:w="1235"/>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Normal shrinkage and employee discounts</w:t>
            </w:r>
          </w:p>
        </w:tc>
        <w:tc>
          <w:tcPr>
            <w:tcW w:type="pct" w:w="1165"/>
            <w:shd w:fill="FFFFFF" w:val="clear"/>
            <w:tcMar>
              <w:top w:type="dxa" w:w="50"/>
              <w:left w:type="dxa" w:w="110"/>
              <w:bottom w:type="dxa" w:w="50"/>
              <w:right w:type="dxa" w:w="110"/>
            </w:tcMar>
          </w:tcPr>
          <w:p>
            <w:pPr>
              <w:spacing w:before="54" w:after="54"/>
            </w:pPr>
            <w:r>
              <w:rPr>
                <w:sz w:val="18"/>
                <w:szCs w:val="18"/>
              </w:rPr>
              <w:t xml:space="preserve"/>
            </w:r>
          </w:p>
        </w:tc>
        <w:tc>
          <w:tcPr>
            <w:tcW w:type="pct" w:w="1235"/>
            <w:shd w:fill="FFFFFF" w:val="clear"/>
            <w:tcMar>
              <w:top w:type="dxa" w:w="50"/>
              <w:left w:type="dxa" w:w="110"/>
              <w:bottom w:type="dxa" w:w="50"/>
              <w:right w:type="dxa" w:w="110"/>
            </w:tcMar>
          </w:tcPr>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19.  </w:t>
      </w:r>
      <w:r>
        <w:rPr>
          <w:sz w:val="19"/>
          <w:szCs w:val="19"/>
        </w:rPr>
        <w:t xml:space="preserve">Spiral review (Chapter 7). A FIFO company moves from a periodic to a perpetual system. What happens to cost of goods sold?</w:t>
      </w:r>
    </w:p>
    <w:p>
      <w:pPr>
        <w:spacing w:after="18"/>
        <w:ind w:left="560" w:hanging="260"/>
      </w:pPr>
      <w:r>
        <w:rPr>
          <w:b/>
          <w:bCs/>
          <w:color w:val="8186EF"/>
          <w:sz w:val="18"/>
          <w:szCs w:val="18"/>
        </w:rPr>
        <w:t xml:space="preserve">A. </w:t>
      </w:r>
      <w:r>
        <w:rPr>
          <w:sz w:val="18"/>
          <w:szCs w:val="18"/>
        </w:rPr>
        <w:t xml:space="preserve">It increases.</w:t>
      </w:r>
    </w:p>
    <w:p>
      <w:pPr>
        <w:spacing w:after="18"/>
        <w:ind w:left="560" w:hanging="260"/>
      </w:pPr>
      <w:r>
        <w:rPr>
          <w:b/>
          <w:bCs/>
          <w:color w:val="8186EF"/>
          <w:sz w:val="18"/>
          <w:szCs w:val="18"/>
        </w:rPr>
        <w:t xml:space="preserve">B. </w:t>
      </w:r>
      <w:r>
        <w:rPr>
          <w:sz w:val="18"/>
          <w:szCs w:val="18"/>
        </w:rPr>
        <w:t xml:space="preserve">It decreases.</w:t>
      </w:r>
    </w:p>
    <w:p>
      <w:pPr>
        <w:spacing w:after="18"/>
        <w:ind w:left="560" w:hanging="260"/>
      </w:pPr>
      <w:r>
        <w:rPr>
          <w:b/>
          <w:bCs/>
          <w:color w:val="8186EF"/>
          <w:sz w:val="18"/>
          <w:szCs w:val="18"/>
        </w:rPr>
        <w:t xml:space="preserve">C. </w:t>
      </w:r>
      <w:r>
        <w:rPr>
          <w:sz w:val="18"/>
          <w:szCs w:val="18"/>
        </w:rPr>
        <w:t xml:space="preserve">It does not change.</w:t>
      </w:r>
    </w:p>
    <w:p>
      <w:pPr>
        <w:spacing w:after="18"/>
        <w:ind w:left="560" w:hanging="260"/>
      </w:pPr>
      <w:r>
        <w:rPr>
          <w:b/>
          <w:bCs/>
          <w:color w:val="8186EF"/>
          <w:sz w:val="18"/>
          <w:szCs w:val="18"/>
        </w:rPr>
        <w:t xml:space="preserve">D. </w:t>
      </w:r>
      <w:r>
        <w:rPr>
          <w:sz w:val="18"/>
          <w:szCs w:val="18"/>
        </w:rPr>
        <w:t xml:space="preserve">It depends on the timing of sales.</w:t>
      </w:r>
    </w:p>
    <w:p>
      <w:pPr>
        <w:spacing w:before="40" w:after="16"/>
        <w:ind w:left="300" w:hanging="300"/>
      </w:pPr>
      <w:r>
        <w:rPr>
          <w:b/>
          <w:bCs/>
          <w:color w:val="353A7C"/>
          <w:sz w:val="19"/>
          <w:szCs w:val="19"/>
        </w:rPr>
        <w:t xml:space="preserve">20.  </w:t>
      </w:r>
      <w:r>
        <w:rPr>
          <w:sz w:val="19"/>
          <w:szCs w:val="19"/>
        </w:rPr>
        <w:t xml:space="preserve">Spiral review (Chapter 7). Ending inventory for 2025 is overstated. What is the effect on 2025 cost of goods sold?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Understated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No effect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Overstated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Overstated in 2025 and in 2026</w:t>
            </w:r>
          </w:p>
        </w:tc>
      </w:tr>
    </w:tbl>
    <w:p>
      <w:pPr>
        <w:spacing w:before="40" w:after="16"/>
        <w:ind w:left="300" w:hanging="300"/>
      </w:pPr>
      <w:r>
        <w:rPr>
          <w:b/>
          <w:bCs/>
          <w:color w:val="353A7C"/>
          <w:sz w:val="19"/>
          <w:szCs w:val="19"/>
        </w:rPr>
        <w:t xml:space="preserve">21.  </w:t>
      </w:r>
      <w:r>
        <w:rPr>
          <w:sz w:val="19"/>
          <w:szCs w:val="19"/>
        </w:rPr>
        <w:t xml:space="preserve">Which statement about IAS 2 is TRUE?</w:t>
      </w:r>
    </w:p>
    <w:p>
      <w:pPr>
        <w:spacing w:after="18"/>
        <w:ind w:left="560" w:hanging="260"/>
      </w:pPr>
      <w:r>
        <w:rPr>
          <w:b/>
          <w:bCs/>
          <w:color w:val="8186EF"/>
          <w:sz w:val="18"/>
          <w:szCs w:val="18"/>
        </w:rPr>
        <w:t xml:space="preserve">A. </w:t>
      </w:r>
      <w:r>
        <w:rPr>
          <w:sz w:val="18"/>
          <w:szCs w:val="18"/>
        </w:rPr>
        <w:t xml:space="preserve">LIFO inventory uses the lower of cost or market.</w:t>
      </w:r>
    </w:p>
    <w:p>
      <w:pPr>
        <w:spacing w:after="18"/>
        <w:ind w:left="560" w:hanging="260"/>
      </w:pPr>
      <w:r>
        <w:rPr>
          <w:b/>
          <w:bCs/>
          <w:color w:val="8186EF"/>
          <w:sz w:val="18"/>
          <w:szCs w:val="18"/>
        </w:rPr>
        <w:t xml:space="preserve">B. </w:t>
      </w:r>
      <w:r>
        <w:rPr>
          <w:sz w:val="18"/>
          <w:szCs w:val="18"/>
        </w:rPr>
        <w:t xml:space="preserve">A write-down is reversed when NRV recovers, up to the original write-down.</w:t>
      </w:r>
    </w:p>
    <w:p>
      <w:pPr>
        <w:spacing w:after="18"/>
        <w:ind w:left="560" w:hanging="260"/>
      </w:pPr>
      <w:r>
        <w:rPr>
          <w:b/>
          <w:bCs/>
          <w:color w:val="8186EF"/>
          <w:sz w:val="18"/>
          <w:szCs w:val="18"/>
        </w:rPr>
        <w:t xml:space="preserve">C. </w:t>
      </w:r>
      <w:r>
        <w:rPr>
          <w:sz w:val="18"/>
          <w:szCs w:val="18"/>
        </w:rPr>
        <w:t xml:space="preserve">The retail method must use LCM.</w:t>
      </w:r>
    </w:p>
    <w:p>
      <w:pPr>
        <w:spacing w:after="18"/>
        <w:ind w:left="560" w:hanging="260"/>
      </w:pPr>
      <w:r>
        <w:rPr>
          <w:b/>
          <w:bCs/>
          <w:color w:val="8186EF"/>
          <w:sz w:val="18"/>
          <w:szCs w:val="18"/>
        </w:rPr>
        <w:t xml:space="preserve">D. </w:t>
      </w:r>
      <w:r>
        <w:rPr>
          <w:sz w:val="18"/>
          <w:szCs w:val="18"/>
        </w:rPr>
        <w:t xml:space="preserve">Write-downs are recorded in other comprehensive income.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22.  </w:t>
            </w:r>
            <w:r>
              <w:rPr>
                <w:sz w:val="19"/>
                <w:szCs w:val="19"/>
              </w:rPr>
              <w:t xml:space="preserve">Spiral review (Chapter 7). A FIFO company moves from a periodic to a perpetual system. What happens to cost of goods sold?</w:t>
            </w:r>
          </w:p>
          <w:p>
            <w:pPr>
              <w:spacing w:after="16"/>
              <w:ind w:left="500" w:hanging="200"/>
            </w:pPr>
            <w:r>
              <w:rPr>
                <w:b/>
                <w:bCs/>
                <w:color w:val="8186EF"/>
                <w:sz w:val="18"/>
                <w:szCs w:val="18"/>
              </w:rPr>
              <w:t xml:space="preserve">A. </w:t>
            </w:r>
            <w:r>
              <w:rPr>
                <w:sz w:val="18"/>
                <w:szCs w:val="18"/>
              </w:rPr>
              <w:t xml:space="preserve">It increases.</w:t>
            </w:r>
          </w:p>
          <w:p>
            <w:pPr>
              <w:spacing w:after="16"/>
              <w:ind w:left="500" w:hanging="200"/>
            </w:pPr>
            <w:r>
              <w:rPr>
                <w:b/>
                <w:bCs/>
                <w:color w:val="8186EF"/>
                <w:sz w:val="18"/>
                <w:szCs w:val="18"/>
              </w:rPr>
              <w:t xml:space="preserve">B. </w:t>
            </w:r>
            <w:r>
              <w:rPr>
                <w:sz w:val="18"/>
                <w:szCs w:val="18"/>
              </w:rPr>
              <w:t xml:space="preserve">It decreases.</w:t>
            </w:r>
          </w:p>
          <w:p>
            <w:pPr>
              <w:spacing w:after="16"/>
              <w:ind w:left="500" w:hanging="200"/>
            </w:pPr>
            <w:r>
              <w:rPr>
                <w:b/>
                <w:bCs/>
                <w:color w:val="8186EF"/>
                <w:sz w:val="18"/>
                <w:szCs w:val="18"/>
              </w:rPr>
              <w:t xml:space="preserve">C. </w:t>
            </w:r>
            <w:r>
              <w:rPr>
                <w:sz w:val="18"/>
                <w:szCs w:val="18"/>
              </w:rPr>
              <w:t xml:space="preserve">It does not change.</w:t>
            </w:r>
          </w:p>
          <w:p>
            <w:pPr>
              <w:spacing w:after="16"/>
              <w:ind w:left="500" w:hanging="200"/>
            </w:pPr>
            <w:r>
              <w:rPr>
                <w:b/>
                <w:bCs/>
                <w:color w:val="8186EF"/>
                <w:sz w:val="18"/>
                <w:szCs w:val="18"/>
              </w:rPr>
              <w:t xml:space="preserve">D. </w:t>
            </w:r>
            <w:r>
              <w:rPr>
                <w:sz w:val="18"/>
                <w:szCs w:val="18"/>
              </w:rPr>
              <w:t xml:space="preserve">It depends on the timing of sales.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6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6"/>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64"/>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36"/>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64"/>
            <w:shd w:fill="FBFAF6" w:val="clear"/>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436"/>
            <w:shd w:fill="FBFAF6" w:val="clear"/>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564"/>
            <w:tcMar>
              <w:top w:type="dxa" w:w="50"/>
              <w:left w:type="dxa" w:w="110"/>
              <w:bottom w:type="dxa" w:w="50"/>
              <w:right w:type="dxa" w:w="110"/>
            </w:tcMar>
          </w:tcPr>
          <w:p>
            <w:pPr>
              <w:spacing w:before="26" w:after="26"/>
            </w:pPr>
            <w:r>
              <w:rPr>
                <w:color w:val="232733"/>
                <w:sz w:val="16"/>
                <w:szCs w:val="16"/>
              </w:rPr>
              <w:t xml:space="preserve">item-by-item basis</w:t>
            </w:r>
          </w:p>
        </w:tc>
        <w:tc>
          <w:tcPr>
            <w:tcW w:type="pct" w:w="2436"/>
            <w:tcMar>
              <w:top w:type="dxa" w:w="50"/>
              <w:left w:type="dxa" w:w="110"/>
              <w:bottom w:type="dxa" w:w="50"/>
              <w:right w:type="dxa" w:w="110"/>
            </w:tcMar>
          </w:tcPr>
          <w:p>
            <w:pPr>
              <w:spacing w:before="26" w:after="26"/>
            </w:pPr>
            <w:r>
              <w:rPr>
                <w:color w:val="232733"/>
                <w:sz w:val="16"/>
                <w:szCs w:val="16"/>
              </w:rPr>
              <w:t xml:space="preserve">أساس كل صنف على حدة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24.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25.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27.  </w:t>
      </w:r>
      <w:r>
        <w:rPr>
          <w:sz w:val="19"/>
          <w:szCs w:val="19"/>
        </w:rPr>
        <w:t xml:space="preserve">Rebuild the figure from this handout. Label every part and fill in every box.</w:t>
      </w:r>
    </w:p>
    <w:p>
      <w:pPr>
        <w:spacing w:after="40" w:before="90"/>
        <w:jc w:val="center"/>
      </w:pPr>
      <w:r>
        <w:drawing>
          <wp:inline distT="0" distB="0" distL="0" distR="0">
            <wp:extent cx="5734050" cy="17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7353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lower of cost or market (LCM)  ·  conventional retail method  ·  item-by-item basis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8.4</w:t>
      </w:r>
    </w:p>
    <w:p>
      <w:pPr>
        <w:spacing w:after="8"/>
      </w:pPr>
      <w:r>
        <w:rPr>
          <w:color w:val="23265A"/>
          <w:sz w:val="22"/>
          <w:szCs w:val="22"/>
        </w:rPr>
        <w:t xml:space="preserve">Advantages and disadvantages of the methods</w:t>
      </w:r>
    </w:p>
    <w:p>
      <w:pPr>
        <w:spacing w:after="130"/>
      </w:pPr>
      <w:r>
        <w:rPr>
          <w:color w:val="6B7280"/>
          <w:sz w:val="20"/>
          <w:szCs w:val="20"/>
        </w:rPr>
        <w:t xml:space="preserve">section 8.4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59"/>
        <w:gridCol w:w="2773"/>
        <w:gridCol w:w="42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33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4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2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333"/>
            <w:tcMar>
              <w:top w:type="dxa" w:w="50"/>
              <w:left w:type="dxa" w:w="110"/>
              <w:bottom w:type="dxa" w:w="50"/>
              <w:right w:type="dxa" w:w="110"/>
            </w:tcMar>
          </w:tcPr>
          <w:p>
            <w:pPr>
              <w:spacing w:before="26" w:after="26"/>
            </w:pPr>
            <w:r>
              <w:rPr>
                <w:color w:val="232733"/>
                <w:sz w:val="16"/>
                <w:szCs w:val="16"/>
              </w:rPr>
              <w:t xml:space="preserve">Advantages and disadvantages of the methods</w:t>
            </w:r>
          </w:p>
        </w:tc>
        <w:tc>
          <w:tcPr>
            <w:tcW w:type="pct" w:w="1444"/>
            <w:tcMar>
              <w:top w:type="dxa" w:w="50"/>
              <w:left w:type="dxa" w:w="110"/>
              <w:bottom w:type="dxa" w:w="50"/>
              <w:right w:type="dxa" w:w="110"/>
            </w:tcMar>
          </w:tcPr>
          <w:p>
            <w:pPr>
              <w:spacing w:before="26" w:after="26"/>
            </w:pPr>
            <w:r>
              <w:rPr>
                <w:color w:val="232733"/>
                <w:sz w:val="16"/>
                <w:szCs w:val="16"/>
              </w:rPr>
              <w:t xml:space="preserve">a figure to read · Criterion</w:t>
            </w:r>
          </w:p>
        </w:tc>
        <w:tc>
          <w:tcPr>
            <w:tcW w:type="pct" w:w="222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33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44"/>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2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replacement cost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gross profit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strengths   ·   identification   ·   floor   ·   manipulate   ·   shrinkage</w:t>
      </w:r>
    </w:p>
    <w:p>
      <w:pPr>
        <w:spacing w:before="36" w:after="36"/>
        <w:ind w:left="300"/>
      </w:pPr>
      <w:r>
        <w:rPr>
          <w:sz w:val="19"/>
          <w:szCs w:val="19"/>
        </w:rPr>
        <w:t xml:space="preserve">Each one is strong on some goals and weak on others. The weighted average and specific </w:t>
      </w:r>
      <w:r>
        <w:rPr>
          <w:u w:val="single"/>
          <w:sz w:val="19"/>
          <w:szCs w:val="19"/>
        </w:rPr>
        <w:t xml:space="preserve">                </w:t>
      </w:r>
      <w:r>
        <w:rPr>
          <w:sz w:val="19"/>
          <w:szCs w:val="19"/>
        </w:rPr>
        <w:t xml:space="preserve"> have their own </w:t>
      </w:r>
      <w:r>
        <w:rPr>
          <w:u w:val="single"/>
          <w:sz w:val="19"/>
          <w:szCs w:val="19"/>
        </w:rPr>
        <w:t xml:space="preserve">           </w:t>
      </w:r>
      <w:r>
        <w:rPr>
          <w:sz w:val="19"/>
          <w:szCs w:val="19"/>
        </w:rPr>
        <w:t xml:space="preserve">. The weighted average is simple, smooths price changes and is hard to </w:t>
      </w:r>
      <w:r>
        <w:rPr>
          <w:u w:val="single"/>
          <w:sz w:val="19"/>
          <w:szCs w:val="19"/>
        </w:rPr>
        <w:t xml:space="preserve">            </w:t>
      </w:r>
      <w:r>
        <w:rPr>
          <w:sz w:val="19"/>
          <w:szCs w:val="19"/>
        </w:rPr>
        <w:t xml:space="preserve">, but its results are neither fully current on the balance sheet nor on the income statement.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out-of-date   ·   identification   ·   shrinkage   ·   management   ·   floor</w:t>
      </w:r>
    </w:p>
    <w:p>
      <w:pPr>
        <w:spacing w:before="36" w:after="36"/>
        <w:ind w:left="300"/>
      </w:pPr>
      <w:r>
        <w:rPr>
          <w:sz w:val="19"/>
          <w:szCs w:val="19"/>
        </w:rPr>
        <w:t xml:space="preserve">Specific </w:t>
      </w:r>
      <w:r>
        <w:rPr>
          <w:u w:val="single"/>
          <w:sz w:val="19"/>
          <w:szCs w:val="19"/>
        </w:rPr>
        <w:t xml:space="preserve">                </w:t>
      </w:r>
      <w:r>
        <w:rPr>
          <w:sz w:val="19"/>
          <w:szCs w:val="19"/>
        </w:rPr>
        <w:t xml:space="preserve"> gives exact matching for unique items, but for identical items it is costly and lets </w:t>
      </w:r>
      <w:r>
        <w:rPr>
          <w:u w:val="single"/>
          <w:sz w:val="19"/>
          <w:szCs w:val="19"/>
        </w:rPr>
        <w:t xml:space="preserve">            </w:t>
      </w:r>
      <w:r>
        <w:rPr>
          <w:sz w:val="19"/>
          <w:szCs w:val="19"/>
        </w:rPr>
        <w:t xml:space="preserve"> choose which costs to report. The main trade-off is between the two statements. LIFO gives a more realistic income statement when prices change, but an </w:t>
      </w:r>
      <w:r>
        <w:rPr>
          <w:u w:val="single"/>
          <w:sz w:val="19"/>
          <w:szCs w:val="19"/>
        </w:rPr>
        <w:t xml:space="preserve">             </w:t>
      </w:r>
      <w:r>
        <w:rPr>
          <w:sz w:val="19"/>
          <w:szCs w:val="19"/>
        </w:rPr>
        <w:t xml:space="preserve"> balance sheet.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shrinkage   ·   inventory   ·   floor   ·   realistic   ·   includes</w:t>
      </w:r>
    </w:p>
    <w:p>
      <w:pPr>
        <w:spacing w:before="36" w:after="36"/>
        <w:ind w:left="300"/>
      </w:pPr>
      <w:r>
        <w:rPr>
          <w:sz w:val="19"/>
          <w:szCs w:val="19"/>
        </w:rPr>
        <w:t xml:space="preserve">FIFO gives a </w:t>
      </w:r>
      <w:r>
        <w:rPr>
          <w:u w:val="single"/>
          <w:sz w:val="19"/>
          <w:szCs w:val="19"/>
        </w:rPr>
        <w:t xml:space="preserve">           </w:t>
      </w:r>
      <w:r>
        <w:rPr>
          <w:sz w:val="19"/>
          <w:szCs w:val="19"/>
        </w:rPr>
        <w:t xml:space="preserve"> balance sheet, but its income </w:t>
      </w:r>
      <w:r>
        <w:rPr>
          <w:u w:val="single"/>
          <w:sz w:val="19"/>
          <w:szCs w:val="19"/>
        </w:rPr>
        <w:t xml:space="preserve">           </w:t>
      </w:r>
      <w:r>
        <w:rPr>
          <w:sz w:val="19"/>
          <w:szCs w:val="19"/>
        </w:rPr>
        <w:t xml:space="preserve"> holding gains. It matches current costs with current revenues. It shows </w:t>
      </w:r>
      <w:r>
        <w:rPr>
          <w:u w:val="single"/>
          <w:sz w:val="19"/>
          <w:szCs w:val="19"/>
        </w:rPr>
        <w:t xml:space="preserve">           </w:t>
      </w:r>
      <w:r>
        <w:rPr>
          <w:sz w:val="19"/>
          <w:szCs w:val="19"/>
        </w:rPr>
        <w:t xml:space="preserve"> close to current cost.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Advantages and disadvantages of the methods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FIFO of Balance sheet (inventory) as “Close to current cost”.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7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7353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44"/>
        <w:gridCol w:w="2167"/>
        <w:gridCol w:w="2348"/>
        <w:gridCol w:w="1288"/>
        <w:gridCol w:w="2053"/>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Criterion — the book’s own table</w:t>
            </w:r>
          </w:p>
        </w:tc>
      </w:tr>
      <w:tr>
        <w:tc>
          <w:tcPr>
            <w:tcW w:type="pct" w:w="908"/>
            <w:tcMar>
              <w:top w:type="dxa" w:w="50"/>
              <w:left w:type="dxa" w:w="110"/>
              <w:bottom w:type="dxa" w:w="50"/>
              <w:right w:type="dxa" w:w="110"/>
            </w:tcMar>
          </w:tcPr>
          <w:p>
            <w:pPr>
              <w:spacing w:before="26" w:after="26"/>
            </w:pPr>
            <w:r>
              <w:rPr>
                <w:b/>
                <w:bCs/>
                <w:color w:val="353A7C"/>
                <w:sz w:val="15"/>
                <w:szCs w:val="15"/>
              </w:rPr>
              <w:t xml:space="preserve">Criterion</w:t>
            </w:r>
          </w:p>
        </w:tc>
        <w:tc>
          <w:tcPr>
            <w:tcW w:type="pct" w:w="1129"/>
            <w:tcMar>
              <w:top w:type="dxa" w:w="50"/>
              <w:left w:type="dxa" w:w="110"/>
              <w:bottom w:type="dxa" w:w="50"/>
              <w:right w:type="dxa" w:w="110"/>
            </w:tcMar>
          </w:tcPr>
          <w:p>
            <w:pPr>
              <w:spacing w:before="26" w:after="26"/>
            </w:pPr>
            <w:r>
              <w:rPr>
                <w:b/>
                <w:bCs/>
                <w:color w:val="353A7C"/>
                <w:sz w:val="15"/>
                <w:szCs w:val="15"/>
              </w:rPr>
              <w:t xml:space="preserve">FIFO</w:t>
            </w:r>
          </w:p>
        </w:tc>
        <w:tc>
          <w:tcPr>
            <w:tcW w:type="pct" w:w="1223"/>
            <w:tcMar>
              <w:top w:type="dxa" w:w="50"/>
              <w:left w:type="dxa" w:w="110"/>
              <w:bottom w:type="dxa" w:w="50"/>
              <w:right w:type="dxa" w:w="110"/>
            </w:tcMar>
          </w:tcPr>
          <w:p>
            <w:pPr>
              <w:spacing w:before="26" w:after="26"/>
            </w:pPr>
            <w:r>
              <w:rPr>
                <w:b/>
                <w:bCs/>
                <w:color w:val="353A7C"/>
                <w:sz w:val="15"/>
                <w:szCs w:val="15"/>
              </w:rPr>
              <w:t xml:space="preserve">LIFO</w:t>
            </w:r>
          </w:p>
        </w:tc>
        <w:tc>
          <w:tcPr>
            <w:tcW w:type="pct" w:w="671"/>
            <w:tcMar>
              <w:top w:type="dxa" w:w="50"/>
              <w:left w:type="dxa" w:w="110"/>
              <w:bottom w:type="dxa" w:w="50"/>
              <w:right w:type="dxa" w:w="110"/>
            </w:tcMar>
          </w:tcPr>
          <w:p>
            <w:pPr>
              <w:spacing w:before="26" w:after="26"/>
            </w:pPr>
            <w:r>
              <w:rPr>
                <w:b/>
                <w:bCs/>
                <w:color w:val="353A7C"/>
                <w:sz w:val="15"/>
                <w:szCs w:val="15"/>
              </w:rPr>
              <w:t xml:space="preserve">Weighted average</w:t>
            </w:r>
          </w:p>
        </w:tc>
        <w:tc>
          <w:tcPr>
            <w:tcW w:type="pct" w:w="1069"/>
            <w:tcMar>
              <w:top w:type="dxa" w:w="50"/>
              <w:left w:type="dxa" w:w="110"/>
              <w:bottom w:type="dxa" w:w="50"/>
              <w:right w:type="dxa" w:w="110"/>
            </w:tcMar>
          </w:tcPr>
          <w:p>
            <w:pPr>
              <w:spacing w:before="26" w:after="26"/>
            </w:pPr>
            <w:r>
              <w:rPr>
                <w:b/>
                <w:bCs/>
                <w:color w:val="353A7C"/>
                <w:sz w:val="15"/>
                <w:szCs w:val="15"/>
              </w:rPr>
              <w:t xml:space="preserve">Specific identification</w:t>
            </w:r>
          </w:p>
        </w:tc>
      </w:tr>
      <w:tr>
        <w:tc>
          <w:tcPr>
            <w:tcW w:type="pct" w:w="908"/>
            <w:tcMar>
              <w:top w:type="dxa" w:w="50"/>
              <w:left w:type="dxa" w:w="110"/>
              <w:bottom w:type="dxa" w:w="50"/>
              <w:right w:type="dxa" w:w="110"/>
            </w:tcMar>
          </w:tcPr>
          <w:p>
            <w:pPr>
              <w:spacing w:before="26" w:after="26"/>
            </w:pPr>
            <w:r>
              <w:rPr>
                <w:color w:val="232733"/>
                <w:sz w:val="16"/>
                <w:szCs w:val="16"/>
              </w:rPr>
              <w:t xml:space="preserve">Balance sheet (inventory)</w:t>
            </w:r>
          </w:p>
        </w:tc>
        <w:tc>
          <w:tcPr>
            <w:tcW w:type="pct" w:w="1129"/>
            <w:tcMar>
              <w:top w:type="dxa" w:w="50"/>
              <w:left w:type="dxa" w:w="110"/>
              <w:bottom w:type="dxa" w:w="50"/>
              <w:right w:type="dxa" w:w="110"/>
            </w:tcMar>
          </w:tcPr>
          <w:p>
            <w:pPr>
              <w:spacing w:before="26" w:after="26"/>
            </w:pPr>
            <w:r>
              <w:rPr>
                <w:color w:val="232733"/>
                <w:sz w:val="16"/>
                <w:szCs w:val="16"/>
              </w:rPr>
              <w:t xml:space="preserve">Close to current cost</w:t>
            </w:r>
          </w:p>
        </w:tc>
        <w:tc>
          <w:tcPr>
            <w:tcW w:type="pct" w:w="1223"/>
            <w:tcMar>
              <w:top w:type="dxa" w:w="50"/>
              <w:left w:type="dxa" w:w="110"/>
              <w:bottom w:type="dxa" w:w="50"/>
              <w:right w:type="dxa" w:w="110"/>
            </w:tcMar>
          </w:tcPr>
          <w:p>
            <w:pPr>
              <w:spacing w:before="26" w:after="26"/>
            </w:pPr>
            <w:r>
              <w:rPr>
                <w:color w:val="232733"/>
                <w:sz w:val="16"/>
                <w:szCs w:val="16"/>
              </w:rPr>
              <w:t xml:space="preserve">Old costs; can be far out of date</w:t>
            </w:r>
          </w:p>
        </w:tc>
        <w:tc>
          <w:tcPr>
            <w:tcW w:type="pct" w:w="671"/>
            <w:tcMar>
              <w:top w:type="dxa" w:w="50"/>
              <w:left w:type="dxa" w:w="110"/>
              <w:bottom w:type="dxa" w:w="50"/>
              <w:right w:type="dxa" w:w="110"/>
            </w:tcMar>
          </w:tcPr>
          <w:p>
            <w:pPr>
              <w:spacing w:before="26" w:after="26"/>
            </w:pPr>
            <w:r>
              <w:rPr>
                <w:color w:val="232733"/>
                <w:sz w:val="16"/>
                <w:szCs w:val="16"/>
              </w:rPr>
              <w:t xml:space="preserve">Between the two</w:t>
            </w:r>
          </w:p>
        </w:tc>
        <w:tc>
          <w:tcPr>
            <w:tcW w:type="pct" w:w="1069"/>
            <w:tcMar>
              <w:top w:type="dxa" w:w="50"/>
              <w:left w:type="dxa" w:w="110"/>
              <w:bottom w:type="dxa" w:w="50"/>
              <w:right w:type="dxa" w:w="110"/>
            </w:tcMar>
          </w:tcPr>
          <w:p>
            <w:pPr>
              <w:spacing w:before="26" w:after="26"/>
            </w:pPr>
            <w:r>
              <w:rPr>
                <w:color w:val="232733"/>
                <w:sz w:val="16"/>
                <w:szCs w:val="16"/>
              </w:rPr>
              <w:t xml:space="preserve">Actual cost of each item</w:t>
            </w:r>
          </w:p>
        </w:tc>
      </w:tr>
      <w:tr>
        <w:tc>
          <w:tcPr>
            <w:tcW w:type="pct" w:w="908"/>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1129"/>
            <w:shd w:fill="FBFAF6" w:val="clear"/>
            <w:tcMar>
              <w:top w:type="dxa" w:w="50"/>
              <w:left w:type="dxa" w:w="110"/>
              <w:bottom w:type="dxa" w:w="50"/>
              <w:right w:type="dxa" w:w="110"/>
            </w:tcMar>
          </w:tcPr>
          <w:p>
            <w:pPr>
              <w:spacing w:before="26" w:after="26"/>
            </w:pPr>
            <w:r>
              <w:rPr>
                <w:color w:val="232733"/>
                <w:sz w:val="16"/>
                <w:szCs w:val="16"/>
              </w:rPr>
              <w:t xml:space="preserve">Includes holding gains when prices rise</w:t>
            </w:r>
          </w:p>
        </w:tc>
        <w:tc>
          <w:tcPr>
            <w:tcW w:type="pct" w:w="1223"/>
            <w:shd w:fill="FBFAF6" w:val="clear"/>
            <w:tcMar>
              <w:top w:type="dxa" w:w="50"/>
              <w:left w:type="dxa" w:w="110"/>
              <w:bottom w:type="dxa" w:w="50"/>
              <w:right w:type="dxa" w:w="110"/>
            </w:tcMar>
          </w:tcPr>
          <w:p>
            <w:pPr>
              <w:spacing w:before="26" w:after="26"/>
            </w:pPr>
            <w:r>
              <w:rPr>
                <w:color w:val="232733"/>
                <w:sz w:val="16"/>
                <w:szCs w:val="16"/>
              </w:rPr>
              <w:t xml:space="preserve">Matches current costs with revenues</w:t>
            </w:r>
          </w:p>
        </w:tc>
        <w:tc>
          <w:tcPr>
            <w:tcW w:type="pct" w:w="671"/>
            <w:shd w:fill="FBFAF6" w:val="clear"/>
            <w:tcMar>
              <w:top w:type="dxa" w:w="50"/>
              <w:left w:type="dxa" w:w="110"/>
              <w:bottom w:type="dxa" w:w="50"/>
              <w:right w:type="dxa" w:w="110"/>
            </w:tcMar>
          </w:tcPr>
          <w:p>
            <w:pPr>
              <w:spacing w:before="26" w:after="26"/>
            </w:pPr>
            <w:r>
              <w:rPr>
                <w:color w:val="232733"/>
                <w:sz w:val="16"/>
                <w:szCs w:val="16"/>
              </w:rPr>
              <w:t xml:space="preserve">Smooths price changes</w:t>
            </w:r>
          </w:p>
        </w:tc>
        <w:tc>
          <w:tcPr>
            <w:tcW w:type="pct" w:w="1069"/>
            <w:shd w:fill="FBFAF6" w:val="clear"/>
            <w:tcMar>
              <w:top w:type="dxa" w:w="50"/>
              <w:left w:type="dxa" w:w="110"/>
              <w:bottom w:type="dxa" w:w="50"/>
              <w:right w:type="dxa" w:w="110"/>
            </w:tcMar>
          </w:tcPr>
          <w:p>
            <w:pPr>
              <w:spacing w:before="26" w:after="26"/>
            </w:pPr>
            <w:r>
              <w:rPr>
                <w:color w:val="232733"/>
                <w:sz w:val="16"/>
                <w:szCs w:val="16"/>
              </w:rPr>
              <w:t xml:space="preserve">Exact matching</w:t>
            </w:r>
          </w:p>
        </w:tc>
      </w:tr>
      <w:tr>
        <w:tc>
          <w:tcPr>
            <w:tcW w:type="pct" w:w="908"/>
            <w:tcMar>
              <w:top w:type="dxa" w:w="50"/>
              <w:left w:type="dxa" w:w="110"/>
              <w:bottom w:type="dxa" w:w="50"/>
              <w:right w:type="dxa" w:w="110"/>
            </w:tcMar>
          </w:tcPr>
          <w:p>
            <w:pPr>
              <w:spacing w:before="26" w:after="26"/>
            </w:pPr>
            <w:r>
              <w:rPr>
                <w:color w:val="232733"/>
                <w:sz w:val="16"/>
                <w:szCs w:val="16"/>
              </w:rPr>
              <w:t xml:space="preserve">Taxes when prices rise</w:t>
            </w:r>
          </w:p>
        </w:tc>
        <w:tc>
          <w:tcPr>
            <w:tcW w:type="pct" w:w="1129"/>
            <w:tcMar>
              <w:top w:type="dxa" w:w="50"/>
              <w:left w:type="dxa" w:w="110"/>
              <w:bottom w:type="dxa" w:w="50"/>
              <w:right w:type="dxa" w:w="110"/>
            </w:tcMar>
          </w:tcPr>
          <w:p>
            <w:pPr>
              <w:spacing w:before="26" w:after="26"/>
            </w:pPr>
            <w:r>
              <w:rPr>
                <w:color w:val="232733"/>
                <w:sz w:val="16"/>
                <w:szCs w:val="16"/>
              </w:rPr>
              <w:t xml:space="preserve">Highest</w:t>
            </w:r>
          </w:p>
        </w:tc>
        <w:tc>
          <w:tcPr>
            <w:tcW w:type="pct" w:w="1223"/>
            <w:tcMar>
              <w:top w:type="dxa" w:w="50"/>
              <w:left w:type="dxa" w:w="110"/>
              <w:bottom w:type="dxa" w:w="50"/>
              <w:right w:type="dxa" w:w="110"/>
            </w:tcMar>
          </w:tcPr>
          <w:p>
            <w:pPr>
              <w:spacing w:before="26" w:after="26"/>
            </w:pPr>
            <w:r>
              <w:rPr>
                <w:color w:val="232733"/>
                <w:sz w:val="16"/>
                <w:szCs w:val="16"/>
              </w:rPr>
              <w:t xml:space="preserve">Lowest (tax deferral)</w:t>
            </w:r>
          </w:p>
        </w:tc>
        <w:tc>
          <w:tcPr>
            <w:tcW w:type="pct" w:w="671"/>
            <w:tcMar>
              <w:top w:type="dxa" w:w="50"/>
              <w:left w:type="dxa" w:w="110"/>
              <w:bottom w:type="dxa" w:w="50"/>
              <w:right w:type="dxa" w:w="110"/>
            </w:tcMar>
          </w:tcPr>
          <w:p>
            <w:pPr>
              <w:spacing w:before="26" w:after="26"/>
            </w:pPr>
            <w:r>
              <w:rPr>
                <w:color w:val="232733"/>
                <w:sz w:val="16"/>
                <w:szCs w:val="16"/>
              </w:rPr>
              <w:t xml:space="preserve">Between the two</w:t>
            </w:r>
          </w:p>
        </w:tc>
        <w:tc>
          <w:tcPr>
            <w:tcW w:type="pct" w:w="1069"/>
            <w:tcMar>
              <w:top w:type="dxa" w:w="50"/>
              <w:left w:type="dxa" w:w="110"/>
              <w:bottom w:type="dxa" w:w="50"/>
              <w:right w:type="dxa" w:w="110"/>
            </w:tcMar>
          </w:tcPr>
          <w:p>
            <w:pPr>
              <w:spacing w:before="26" w:after="26"/>
            </w:pPr>
            <w:r>
              <w:rPr>
                <w:color w:val="232733"/>
                <w:sz w:val="16"/>
                <w:szCs w:val="16"/>
              </w:rPr>
              <w:t xml:space="preserve">Depends on items sold</w:t>
            </w:r>
          </w:p>
        </w:tc>
      </w:tr>
      <w:tr>
        <w:tc>
          <w:tcPr>
            <w:tcW w:type="pct" w:w="908"/>
            <w:shd w:fill="FBFAF6" w:val="clear"/>
            <w:tcMar>
              <w:top w:type="dxa" w:w="50"/>
              <w:left w:type="dxa" w:w="110"/>
              <w:bottom w:type="dxa" w:w="50"/>
              <w:right w:type="dxa" w:w="110"/>
            </w:tcMar>
          </w:tcPr>
          <w:p>
            <w:pPr>
              <w:spacing w:before="26" w:after="26"/>
            </w:pPr>
            <w:r>
              <w:rPr>
                <w:color w:val="232733"/>
                <w:sz w:val="16"/>
                <w:szCs w:val="16"/>
              </w:rPr>
              <w:t xml:space="preserve">Allowed under IFRS?</w:t>
            </w:r>
          </w:p>
        </w:tc>
        <w:tc>
          <w:tcPr>
            <w:tcW w:type="pct" w:w="1129"/>
            <w:shd w:fill="FBFAF6" w:val="clear"/>
            <w:tcMar>
              <w:top w:type="dxa" w:w="50"/>
              <w:left w:type="dxa" w:w="110"/>
              <w:bottom w:type="dxa" w:w="50"/>
              <w:right w:type="dxa" w:w="110"/>
            </w:tcMar>
          </w:tcPr>
          <w:p>
            <w:pPr>
              <w:spacing w:before="26" w:after="26"/>
            </w:pPr>
            <w:r>
              <w:rPr>
                <w:color w:val="232733"/>
                <w:sz w:val="16"/>
                <w:szCs w:val="16"/>
              </w:rPr>
              <w:t xml:space="preserve">Yes</w:t>
            </w:r>
          </w:p>
        </w:tc>
        <w:tc>
          <w:tcPr>
            <w:tcW w:type="pct" w:w="1223"/>
            <w:shd w:fill="FBFAF6" w:val="clear"/>
            <w:tcMar>
              <w:top w:type="dxa" w:w="50"/>
              <w:left w:type="dxa" w:w="110"/>
              <w:bottom w:type="dxa" w:w="50"/>
              <w:right w:type="dxa" w:w="110"/>
            </w:tcMar>
          </w:tcPr>
          <w:p>
            <w:pPr>
              <w:spacing w:before="26" w:after="26"/>
            </w:pPr>
            <w:r>
              <w:rPr>
                <w:color w:val="232733"/>
                <w:sz w:val="16"/>
                <w:szCs w:val="16"/>
              </w:rPr>
              <w:t xml:space="preserve">No</w:t>
            </w:r>
          </w:p>
        </w:tc>
        <w:tc>
          <w:tcPr>
            <w:tcW w:type="pct" w:w="671"/>
            <w:shd w:fill="FBFAF6" w:val="clear"/>
            <w:tcMar>
              <w:top w:type="dxa" w:w="50"/>
              <w:left w:type="dxa" w:w="110"/>
              <w:bottom w:type="dxa" w:w="50"/>
              <w:right w:type="dxa" w:w="110"/>
            </w:tcMar>
          </w:tcPr>
          <w:p>
            <w:pPr>
              <w:spacing w:before="26" w:after="26"/>
            </w:pPr>
            <w:r>
              <w:rPr>
                <w:color w:val="232733"/>
                <w:sz w:val="16"/>
                <w:szCs w:val="16"/>
              </w:rPr>
              <w:t xml:space="preserve">Yes</w:t>
            </w:r>
          </w:p>
        </w:tc>
        <w:tc>
          <w:tcPr>
            <w:tcW w:type="pct" w:w="1069"/>
            <w:shd w:fill="FBFAF6" w:val="clear"/>
            <w:tcMar>
              <w:top w:type="dxa" w:w="50"/>
              <w:left w:type="dxa" w:w="110"/>
              <w:bottom w:type="dxa" w:w="50"/>
              <w:right w:type="dxa" w:w="110"/>
            </w:tcMar>
          </w:tcPr>
          <w:p>
            <w:pPr>
              <w:spacing w:before="26" w:after="26"/>
            </w:pPr>
            <w:r>
              <w:rPr>
                <w:color w:val="232733"/>
                <w:sz w:val="16"/>
                <w:szCs w:val="16"/>
              </w:rPr>
              <w:t xml:space="preserve">Yes (required for unique items)</w:t>
            </w:r>
          </w:p>
        </w:tc>
      </w:tr>
      <w:tr>
        <w:tc>
          <w:tcPr>
            <w:tcW w:type="pct" w:w="908"/>
            <w:tcMar>
              <w:top w:type="dxa" w:w="50"/>
              <w:left w:type="dxa" w:w="110"/>
              <w:bottom w:type="dxa" w:w="50"/>
              <w:right w:type="dxa" w:w="110"/>
            </w:tcMar>
          </w:tcPr>
          <w:p>
            <w:pPr>
              <w:spacing w:before="26" w:after="26"/>
            </w:pPr>
            <w:r>
              <w:rPr>
                <w:color w:val="232733"/>
                <w:sz w:val="16"/>
                <w:szCs w:val="16"/>
              </w:rPr>
              <w:t xml:space="preserve">Risk of manipulation</w:t>
            </w:r>
          </w:p>
        </w:tc>
        <w:tc>
          <w:tcPr>
            <w:tcW w:type="pct" w:w="1129"/>
            <w:tcMar>
              <w:top w:type="dxa" w:w="50"/>
              <w:left w:type="dxa" w:w="110"/>
              <w:bottom w:type="dxa" w:w="50"/>
              <w:right w:type="dxa" w:w="110"/>
            </w:tcMar>
          </w:tcPr>
          <w:p>
            <w:pPr>
              <w:spacing w:before="26" w:after="26"/>
            </w:pPr>
            <w:r>
              <w:rPr>
                <w:color w:val="232733"/>
                <w:sz w:val="16"/>
                <w:szCs w:val="16"/>
              </w:rPr>
              <w:t xml:space="preserve">Low</w:t>
            </w:r>
          </w:p>
        </w:tc>
        <w:tc>
          <w:tcPr>
            <w:tcW w:type="pct" w:w="1223"/>
            <w:tcMar>
              <w:top w:type="dxa" w:w="50"/>
              <w:left w:type="dxa" w:w="110"/>
              <w:bottom w:type="dxa" w:w="50"/>
              <w:right w:type="dxa" w:w="110"/>
            </w:tcMar>
          </w:tcPr>
          <w:p>
            <w:pPr>
              <w:spacing w:before="26" w:after="26"/>
            </w:pPr>
            <w:r>
              <w:rPr>
                <w:color w:val="232733"/>
                <w:sz w:val="16"/>
                <w:szCs w:val="16"/>
              </w:rPr>
              <w:t xml:space="preserve">Year-end purchases; liquidations</w:t>
            </w:r>
          </w:p>
        </w:tc>
        <w:tc>
          <w:tcPr>
            <w:tcW w:type="pct" w:w="671"/>
            <w:tcMar>
              <w:top w:type="dxa" w:w="50"/>
              <w:left w:type="dxa" w:w="110"/>
              <w:bottom w:type="dxa" w:w="50"/>
              <w:right w:type="dxa" w:w="110"/>
            </w:tcMar>
          </w:tcPr>
          <w:p>
            <w:pPr>
              <w:spacing w:before="26" w:after="26"/>
            </w:pPr>
            <w:r>
              <w:rPr>
                <w:color w:val="232733"/>
                <w:sz w:val="16"/>
                <w:szCs w:val="16"/>
              </w:rPr>
              <w:t xml:space="preserve">Low</w:t>
            </w:r>
          </w:p>
        </w:tc>
        <w:tc>
          <w:tcPr>
            <w:tcW w:type="pct" w:w="1069"/>
            <w:tcMar>
              <w:top w:type="dxa" w:w="50"/>
              <w:left w:type="dxa" w:w="110"/>
              <w:bottom w:type="dxa" w:w="50"/>
              <w:right w:type="dxa" w:w="110"/>
            </w:tcMar>
          </w:tcPr>
          <w:p>
            <w:pPr>
              <w:spacing w:before="26" w:after="26"/>
            </w:pPr>
            <w:r>
              <w:rPr>
                <w:color w:val="232733"/>
                <w:sz w:val="16"/>
                <w:szCs w:val="16"/>
              </w:rPr>
              <w:t xml:space="preserve">High for identical items</w:t>
            </w:r>
          </w:p>
        </w:tc>
      </w:tr>
      <w:tr>
        <w:tc>
          <w:tcPr>
            <w:tcW w:type="pct" w:w="908"/>
            <w:shd w:fill="FBFAF6" w:val="clear"/>
            <w:tcMar>
              <w:top w:type="dxa" w:w="50"/>
              <w:left w:type="dxa" w:w="110"/>
              <w:bottom w:type="dxa" w:w="50"/>
              <w:right w:type="dxa" w:w="110"/>
            </w:tcMar>
          </w:tcPr>
          <w:p>
            <w:pPr>
              <w:spacing w:before="26" w:after="26"/>
            </w:pPr>
            <w:r>
              <w:rPr>
                <w:color w:val="232733"/>
                <w:sz w:val="16"/>
                <w:szCs w:val="16"/>
              </w:rPr>
              <w:t xml:space="preserve">Cost of records</w:t>
            </w:r>
          </w:p>
        </w:tc>
        <w:tc>
          <w:tcPr>
            <w:tcW w:type="pct" w:w="1129"/>
            <w:shd w:fill="FBFAF6" w:val="clear"/>
            <w:tcMar>
              <w:top w:type="dxa" w:w="50"/>
              <w:left w:type="dxa" w:w="110"/>
              <w:bottom w:type="dxa" w:w="50"/>
              <w:right w:type="dxa" w:w="110"/>
            </w:tcMar>
          </w:tcPr>
          <w:p>
            <w:pPr>
              <w:spacing w:before="26" w:after="26"/>
            </w:pPr>
            <w:r>
              <w:rPr>
                <w:color w:val="232733"/>
                <w:sz w:val="16"/>
                <w:szCs w:val="16"/>
              </w:rPr>
              <w:t xml:space="preserve">Moderate</w:t>
            </w:r>
          </w:p>
        </w:tc>
        <w:tc>
          <w:tcPr>
            <w:tcW w:type="pct" w:w="1223"/>
            <w:shd w:fill="FBFAF6" w:val="clear"/>
            <w:tcMar>
              <w:top w:type="dxa" w:w="50"/>
              <w:left w:type="dxa" w:w="110"/>
              <w:bottom w:type="dxa" w:w="50"/>
              <w:right w:type="dxa" w:w="110"/>
            </w:tcMar>
          </w:tcPr>
          <w:p>
            <w:pPr>
              <w:spacing w:before="26" w:after="26"/>
            </w:pPr>
            <w:r>
              <w:rPr>
                <w:color w:val="232733"/>
                <w:sz w:val="16"/>
                <w:szCs w:val="16"/>
              </w:rPr>
              <w:t xml:space="preserve">Higher (layers, conformity)</w:t>
            </w:r>
          </w:p>
        </w:tc>
        <w:tc>
          <w:tcPr>
            <w:tcW w:type="pct" w:w="671"/>
            <w:shd w:fill="FBFAF6" w:val="clear"/>
            <w:tcMar>
              <w:top w:type="dxa" w:w="50"/>
              <w:left w:type="dxa" w:w="110"/>
              <w:bottom w:type="dxa" w:w="50"/>
              <w:right w:type="dxa" w:w="110"/>
            </w:tcMar>
          </w:tcPr>
          <w:p>
            <w:pPr>
              <w:spacing w:before="26" w:after="26"/>
            </w:pPr>
            <w:r>
              <w:rPr>
                <w:color w:val="232733"/>
                <w:sz w:val="16"/>
                <w:szCs w:val="16"/>
              </w:rPr>
              <w:t xml:space="preserve">Low</w:t>
            </w:r>
          </w:p>
        </w:tc>
        <w:tc>
          <w:tcPr>
            <w:tcW w:type="pct" w:w="1069"/>
            <w:shd w:fill="FBFAF6" w:val="clear"/>
            <w:tcMar>
              <w:top w:type="dxa" w:w="50"/>
              <w:left w:type="dxa" w:w="110"/>
              <w:bottom w:type="dxa" w:w="50"/>
              <w:right w:type="dxa" w:w="110"/>
            </w:tcMar>
          </w:tcPr>
          <w:p>
            <w:pPr>
              <w:spacing w:before="26" w:after="26"/>
            </w:pPr>
            <w:r>
              <w:rPr>
                <w:color w:val="232733"/>
                <w:sz w:val="16"/>
                <w:szCs w:val="16"/>
              </w:rPr>
              <w:t xml:space="preserve">High</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5.  </w:t>
      </w:r>
      <w:r>
        <w:rPr>
          <w:sz w:val="19"/>
          <w:szCs w:val="19"/>
        </w:rPr>
        <w:t xml:space="preserve">Which FIFO does the book give for Balance sheet (inventory)?</w:t>
      </w:r>
    </w:p>
    <w:p>
      <w:pPr>
        <w:spacing w:after="18"/>
        <w:ind w:left="560" w:hanging="260"/>
      </w:pPr>
      <w:r>
        <w:rPr>
          <w:b/>
          <w:bCs/>
          <w:color w:val="8186EF"/>
          <w:sz w:val="18"/>
          <w:szCs w:val="18"/>
        </w:rPr>
        <w:t xml:space="preserve">A. </w:t>
      </w:r>
      <w:r>
        <w:rPr>
          <w:sz w:val="18"/>
          <w:szCs w:val="18"/>
        </w:rPr>
        <w:t xml:space="preserve">Moderate</w:t>
      </w:r>
    </w:p>
    <w:p>
      <w:pPr>
        <w:spacing w:after="18"/>
        <w:ind w:left="560" w:hanging="260"/>
      </w:pPr>
      <w:r>
        <w:rPr>
          <w:b/>
          <w:bCs/>
          <w:color w:val="8186EF"/>
          <w:sz w:val="18"/>
          <w:szCs w:val="18"/>
        </w:rPr>
        <w:t xml:space="preserve">B. </w:t>
      </w:r>
      <w:r>
        <w:rPr>
          <w:sz w:val="18"/>
          <w:szCs w:val="18"/>
        </w:rPr>
        <w:t xml:space="preserve">Highest</w:t>
      </w:r>
    </w:p>
    <w:p>
      <w:pPr>
        <w:spacing w:after="18"/>
        <w:ind w:left="560" w:hanging="260"/>
      </w:pPr>
      <w:r>
        <w:rPr>
          <w:b/>
          <w:bCs/>
          <w:color w:val="8186EF"/>
          <w:sz w:val="18"/>
          <w:szCs w:val="18"/>
        </w:rPr>
        <w:t xml:space="preserve">C. </w:t>
      </w:r>
      <w:r>
        <w:rPr>
          <w:sz w:val="18"/>
          <w:szCs w:val="18"/>
        </w:rPr>
        <w:t xml:space="preserve">Close to current cost</w:t>
      </w:r>
    </w:p>
    <w:p>
      <w:pPr>
        <w:spacing w:after="18"/>
        <w:ind w:left="560" w:hanging="260"/>
      </w:pPr>
      <w:r>
        <w:rPr>
          <w:b/>
          <w:bCs/>
          <w:color w:val="8186EF"/>
          <w:sz w:val="18"/>
          <w:szCs w:val="18"/>
        </w:rPr>
        <w:t xml:space="preserve">D. </w:t>
      </w:r>
      <w:r>
        <w:rPr>
          <w:sz w:val="18"/>
          <w:szCs w:val="18"/>
        </w:rPr>
        <w:t xml:space="preserve">Includes holding gains when prices rise</w:t>
      </w:r>
    </w:p>
    <w:p>
      <w:pPr>
        <w:spacing w:before="40" w:after="16"/>
        <w:ind w:left="300" w:hanging="300"/>
      </w:pPr>
      <w:r>
        <w:rPr>
          <w:b/>
          <w:bCs/>
          <w:color w:val="353A7C"/>
          <w:sz w:val="19"/>
          <w:szCs w:val="19"/>
        </w:rPr>
        <w:t xml:space="preserve">6.  </w:t>
      </w:r>
      <w:r>
        <w:rPr>
          <w:sz w:val="19"/>
          <w:szCs w:val="19"/>
        </w:rPr>
        <w:t xml:space="preserve">Which FIFO does the book give for Income statement?</w:t>
      </w:r>
    </w:p>
    <w:p>
      <w:pPr>
        <w:spacing w:after="18"/>
        <w:ind w:left="560" w:hanging="260"/>
      </w:pPr>
      <w:r>
        <w:rPr>
          <w:b/>
          <w:bCs/>
          <w:color w:val="8186EF"/>
          <w:sz w:val="18"/>
          <w:szCs w:val="18"/>
        </w:rPr>
        <w:t xml:space="preserve">A. </w:t>
      </w:r>
      <w:r>
        <w:rPr>
          <w:sz w:val="18"/>
          <w:szCs w:val="18"/>
        </w:rPr>
        <w:t xml:space="preserve">Moderate</w:t>
      </w:r>
    </w:p>
    <w:p>
      <w:pPr>
        <w:spacing w:after="18"/>
        <w:ind w:left="560" w:hanging="260"/>
      </w:pPr>
      <w:r>
        <w:rPr>
          <w:b/>
          <w:bCs/>
          <w:color w:val="8186EF"/>
          <w:sz w:val="18"/>
          <w:szCs w:val="18"/>
        </w:rPr>
        <w:t xml:space="preserve">B. </w:t>
      </w:r>
      <w:r>
        <w:rPr>
          <w:sz w:val="18"/>
          <w:szCs w:val="18"/>
        </w:rPr>
        <w:t xml:space="preserve">Includes holding gains when prices rise</w:t>
      </w:r>
    </w:p>
    <w:p>
      <w:pPr>
        <w:spacing w:after="18"/>
        <w:ind w:left="560" w:hanging="260"/>
      </w:pPr>
      <w:r>
        <w:rPr>
          <w:b/>
          <w:bCs/>
          <w:color w:val="8186EF"/>
          <w:sz w:val="18"/>
          <w:szCs w:val="18"/>
        </w:rPr>
        <w:t xml:space="preserve">C. </w:t>
      </w:r>
      <w:r>
        <w:rPr>
          <w:sz w:val="18"/>
          <w:szCs w:val="18"/>
        </w:rPr>
        <w:t xml:space="preserve">Highest</w:t>
      </w:r>
    </w:p>
    <w:p>
      <w:pPr>
        <w:spacing w:after="18"/>
        <w:ind w:left="560" w:hanging="260"/>
      </w:pPr>
      <w:r>
        <w:rPr>
          <w:b/>
          <w:bCs/>
          <w:color w:val="8186EF"/>
          <w:sz w:val="18"/>
          <w:szCs w:val="18"/>
        </w:rPr>
        <w:t xml:space="preserve">D. </w:t>
      </w:r>
      <w:r>
        <w:rPr>
          <w:sz w:val="18"/>
          <w:szCs w:val="18"/>
        </w:rPr>
        <w:t xml:space="preserve">Close to current cost</w:t>
      </w:r>
    </w:p>
    <w:p>
      <w:pPr>
        <w:spacing w:before="40" w:after="16"/>
        <w:ind w:left="300" w:hanging="300"/>
      </w:pPr>
      <w:r>
        <w:rPr>
          <w:b/>
          <w:bCs/>
          <w:color w:val="353A7C"/>
          <w:sz w:val="19"/>
          <w:szCs w:val="19"/>
        </w:rPr>
        <w:t xml:space="preserve">7.  </w:t>
      </w:r>
      <w:r>
        <w:rPr>
          <w:sz w:val="19"/>
          <w:szCs w:val="19"/>
        </w:rPr>
        <w:t xml:space="preserve">Which FIFO does the book give for Taxes when prices rise?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Moderate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Low</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Yes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Highest</w:t>
            </w:r>
          </w:p>
        </w:tc>
      </w:tr>
    </w:tbl>
    <w:p>
      <w:pPr>
        <w:spacing w:before="40" w:after="16"/>
        <w:ind w:left="300" w:hanging="300"/>
      </w:pPr>
      <w:r>
        <w:rPr>
          <w:b/>
          <w:bCs/>
          <w:color w:val="353A7C"/>
          <w:sz w:val="19"/>
          <w:szCs w:val="19"/>
        </w:rPr>
        <w:t xml:space="preserve">8.  </w:t>
      </w:r>
      <w:r>
        <w:rPr>
          <w:sz w:val="19"/>
          <w:szCs w:val="19"/>
        </w:rPr>
        <w:t xml:space="preserve">Which FIFO does the book give for Allowed under IFRS??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Highest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Low</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Moderate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Yes</w:t>
            </w:r>
          </w:p>
        </w:tc>
      </w:tr>
    </w:tbl>
    <w:p>
      <w:pPr>
        <w:spacing w:before="30" w:after="30"/>
        <w:ind w:left="300" w:hanging="300"/>
      </w:pPr>
      <w:r>
        <w:rPr>
          <w:b/>
          <w:bCs/>
          <w:color w:val="353A7C"/>
          <w:sz w:val="19"/>
          <w:szCs w:val="19"/>
        </w:rPr>
        <w:t xml:space="preserve">9.  </w:t>
      </w:r>
      <w:r>
        <w:rPr>
          <w:sz w:val="19"/>
          <w:szCs w:val="19"/>
        </w:rPr>
        <w:t xml:space="preserve">The book gives the specific identification of Balance sheet (inventory) as “Actual cost of each item”.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specific identification of Income statement as “High for identical items”.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weighted average. Every item belongs to exactly one group.</w:t>
            </w:r>
          </w:p>
        </w:tc>
      </w:tr>
    </w:tbl>
    <w:p>
      <w:pPr>
        <w:spacing w:before="20" w:after="40"/>
      </w:pPr>
      <w:r>
        <w:rPr>
          <w:color w:val="6B7280"/>
          <w:sz w:val="16"/>
          <w:szCs w:val="16"/>
        </w:rPr>
        <w:t xml:space="preserve">the items:  </w:t>
      </w:r>
      <w:r>
        <w:rPr>
          <w:sz w:val="17"/>
          <w:szCs w:val="17"/>
        </w:rPr>
        <w:t xml:space="preserve">Balance sheet (inventory)   ·   Income statement   ·   Taxes when prices rise   ·   Allowed under IFRS?   ·   Risk of manipulation   ·   Cost of records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2400"/>
        <w:gridCol w:w="2400"/>
        <w:gridCol w:w="2400"/>
        <w:gridCol w:w="2400"/>
      </w:tblGrid>
      <w:tr>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Between the two</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Low</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Smooths price changes</w:t>
            </w:r>
          </w:p>
        </w:tc>
        <w:tc>
          <w:tcPr>
            <w:tcW w:type="pct" w:w="1250"/>
            <w:shd w:fill="2B6CB0" w:val="clear"/>
            <w:tcMar>
              <w:top w:type="dxa" w:w="50"/>
              <w:left w:type="dxa" w:w="110"/>
              <w:bottom w:type="dxa" w:w="50"/>
              <w:right w:type="dxa" w:w="110"/>
            </w:tcMar>
          </w:tcPr>
          <w:p>
            <w:pPr>
              <w:spacing w:before="32" w:after="32"/>
            </w:pPr>
            <w:r>
              <w:rPr>
                <w:b/>
                <w:bCs/>
                <w:color w:val="FFFFFF"/>
                <w:sz w:val="15"/>
                <w:szCs w:val="15"/>
              </w:rPr>
              <w:t xml:space="preserve">Yes</w:t>
            </w:r>
          </w:p>
        </w:tc>
      </w:tr>
      <w:tr>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125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81"/>
        <w:gridCol w:w="1560"/>
        <w:gridCol w:w="2442"/>
        <w:gridCol w:w="1165"/>
        <w:gridCol w:w="1853"/>
      </w:tblGrid>
      <w:tr>
        <w:tc>
          <w:tcPr>
            <w:tcW w:type="pct" w:w="1344"/>
            <w:shd w:fill="353A7C" w:val="clear"/>
            <w:tcMar>
              <w:top w:type="dxa" w:w="50"/>
              <w:left w:type="dxa" w:w="110"/>
              <w:bottom w:type="dxa" w:w="50"/>
              <w:right w:type="dxa" w:w="110"/>
            </w:tcMar>
          </w:tcPr>
          <w:p>
            <w:pPr>
              <w:spacing w:before="34" w:after="34"/>
            </w:pPr>
            <w:r>
              <w:rPr>
                <w:b/>
                <w:bCs/>
                <w:color w:val="FFFFFF"/>
                <w:sz w:val="15"/>
                <w:szCs w:val="15"/>
              </w:rPr>
              <w:t xml:space="preserve">Criterion</w:t>
            </w:r>
          </w:p>
        </w:tc>
        <w:tc>
          <w:tcPr>
            <w:tcW w:type="pct" w:w="812"/>
            <w:shd w:fill="353A7C" w:val="clear"/>
            <w:tcMar>
              <w:top w:type="dxa" w:w="50"/>
              <w:left w:type="dxa" w:w="110"/>
              <w:bottom w:type="dxa" w:w="50"/>
              <w:right w:type="dxa" w:w="110"/>
            </w:tcMar>
          </w:tcPr>
          <w:p>
            <w:pPr>
              <w:spacing w:before="34" w:after="34"/>
            </w:pPr>
            <w:r>
              <w:rPr>
                <w:b/>
                <w:bCs/>
                <w:color w:val="FFFFFF"/>
                <w:sz w:val="15"/>
                <w:szCs w:val="15"/>
              </w:rPr>
              <w:t xml:space="preserve">FIFO</w:t>
            </w:r>
          </w:p>
        </w:tc>
        <w:tc>
          <w:tcPr>
            <w:tcW w:type="pct" w:w="1272"/>
            <w:shd w:fill="353A7C" w:val="clear"/>
            <w:tcMar>
              <w:top w:type="dxa" w:w="50"/>
              <w:left w:type="dxa" w:w="110"/>
              <w:bottom w:type="dxa" w:w="50"/>
              <w:right w:type="dxa" w:w="110"/>
            </w:tcMar>
          </w:tcPr>
          <w:p>
            <w:pPr>
              <w:spacing w:before="34" w:after="34"/>
            </w:pPr>
            <w:r>
              <w:rPr>
                <w:b/>
                <w:bCs/>
                <w:color w:val="FFFFFF"/>
                <w:sz w:val="15"/>
                <w:szCs w:val="15"/>
              </w:rPr>
              <w:t xml:space="preserve">LIFO</w:t>
            </w:r>
          </w:p>
        </w:tc>
        <w:tc>
          <w:tcPr>
            <w:tcW w:type="pct" w:w="607"/>
            <w:shd w:fill="353A7C" w:val="clear"/>
            <w:tcMar>
              <w:top w:type="dxa" w:w="50"/>
              <w:left w:type="dxa" w:w="110"/>
              <w:bottom w:type="dxa" w:w="50"/>
              <w:right w:type="dxa" w:w="110"/>
            </w:tcMar>
          </w:tcPr>
          <w:p>
            <w:pPr>
              <w:spacing w:before="34" w:after="34"/>
            </w:pPr>
            <w:r>
              <w:rPr>
                <w:b/>
                <w:bCs/>
                <w:color w:val="FFFFFF"/>
                <w:sz w:val="15"/>
                <w:szCs w:val="15"/>
              </w:rPr>
              <w:t xml:space="preserve">Weighted average</w:t>
            </w:r>
          </w:p>
        </w:tc>
        <w:tc>
          <w:tcPr>
            <w:tcW w:type="pct" w:w="965"/>
            <w:shd w:fill="353A7C" w:val="clear"/>
            <w:tcMar>
              <w:top w:type="dxa" w:w="50"/>
              <w:left w:type="dxa" w:w="110"/>
              <w:bottom w:type="dxa" w:w="50"/>
              <w:right w:type="dxa" w:w="110"/>
            </w:tcMar>
          </w:tcPr>
          <w:p>
            <w:pPr>
              <w:spacing w:before="34" w:after="34"/>
            </w:pPr>
            <w:r>
              <w:rPr>
                <w:b/>
                <w:bCs/>
                <w:color w:val="FFFFFF"/>
                <w:sz w:val="15"/>
                <w:szCs w:val="15"/>
              </w:rPr>
              <w:t xml:space="preserve">Specific identification</w:t>
            </w:r>
          </w:p>
        </w:tc>
      </w:tr>
      <w:tr>
        <w:tc>
          <w:tcPr>
            <w:tcW w:type="pct" w:w="1344"/>
            <w:tcMar>
              <w:top w:type="dxa" w:w="50"/>
              <w:left w:type="dxa" w:w="110"/>
              <w:bottom w:type="dxa" w:w="50"/>
              <w:right w:type="dxa" w:w="110"/>
            </w:tcMar>
          </w:tcPr>
          <w:p>
            <w:pPr>
              <w:spacing w:before="32" w:after="32"/>
            </w:pPr>
            <w:r>
              <w:rPr>
                <w:sz w:val="16"/>
                <w:szCs w:val="16"/>
              </w:rPr>
              <w:t xml:space="preserve">Balance sheet (inventory)</w:t>
            </w:r>
          </w:p>
        </w:tc>
        <w:tc>
          <w:tcPr>
            <w:tcW w:type="pct" w:w="812"/>
            <w:tcMar>
              <w:top w:type="dxa" w:w="50"/>
              <w:left w:type="dxa" w:w="110"/>
              <w:bottom w:type="dxa" w:w="50"/>
              <w:right w:type="dxa" w:w="110"/>
            </w:tcMar>
          </w:tcPr>
          <w:p>
            <w:pPr>
              <w:spacing w:before="32" w:after="32"/>
            </w:pPr>
            <w:r>
              <w:rPr>
                <w:sz w:val="16"/>
                <w:szCs w:val="16"/>
              </w:rPr>
              <w:t xml:space="preserve">Close to current cost</w:t>
            </w:r>
          </w:p>
        </w:tc>
        <w:tc>
          <w:tcPr>
            <w:tcW w:type="pct" w:w="1272"/>
            <w:tcMar>
              <w:top w:type="dxa" w:w="50"/>
              <w:left w:type="dxa" w:w="110"/>
              <w:bottom w:type="dxa" w:w="50"/>
              <w:right w:type="dxa" w:w="110"/>
            </w:tcMar>
          </w:tcPr>
          <w:p>
            <w:pPr>
              <w:spacing w:before="32" w:after="32"/>
            </w:pPr>
            <w:r>
              <w:rPr>
                <w:sz w:val="16"/>
                <w:szCs w:val="16"/>
              </w:rPr>
              <w:t xml:space="preserve">Old costs; can be far out of date</w:t>
            </w:r>
          </w:p>
        </w:tc>
        <w:tc>
          <w:tcPr>
            <w:tcW w:type="pct" w:w="607"/>
            <w:tcMar>
              <w:top w:type="dxa" w:w="50"/>
              <w:left w:type="dxa" w:w="110"/>
              <w:bottom w:type="dxa" w:w="50"/>
              <w:right w:type="dxa" w:w="110"/>
            </w:tcMar>
          </w:tcPr>
          <w:p>
            <w:pPr>
              <w:spacing w:before="32" w:after="32"/>
            </w:pPr>
            <w:r>
              <w:rPr>
                <w:sz w:val="16"/>
                <w:szCs w:val="16"/>
              </w:rPr>
              <w:t xml:space="preserve">Between the two</w:t>
            </w:r>
          </w:p>
        </w:tc>
        <w:tc>
          <w:tcPr>
            <w:tcW w:type="pct" w:w="965"/>
            <w:tcMar>
              <w:top w:type="dxa" w:w="50"/>
              <w:left w:type="dxa" w:w="110"/>
              <w:bottom w:type="dxa" w:w="50"/>
              <w:right w:type="dxa" w:w="110"/>
            </w:tcMar>
          </w:tcPr>
          <w:p>
            <w:pPr>
              <w:spacing w:before="32" w:after="32"/>
            </w:pPr>
            <w:r>
              <w:rPr>
                <w:sz w:val="16"/>
                <w:szCs w:val="16"/>
              </w:rPr>
              <w:t xml:space="preserve">Actual cost of each item</w:t>
            </w:r>
          </w:p>
        </w:tc>
      </w:tr>
      <w:tr>
        <w:tc>
          <w:tcPr>
            <w:tcW w:type="pct" w:w="1344"/>
            <w:shd w:fill="FBFAF6" w:val="clear"/>
            <w:tcMar>
              <w:top w:type="dxa" w:w="50"/>
              <w:left w:type="dxa" w:w="110"/>
              <w:bottom w:type="dxa" w:w="50"/>
              <w:right w:type="dxa" w:w="110"/>
            </w:tcMar>
          </w:tcPr>
          <w:p>
            <w:pPr>
              <w:spacing w:before="32" w:after="32"/>
            </w:pPr>
            <w:r>
              <w:rPr>
                <w:sz w:val="16"/>
                <w:szCs w:val="16"/>
              </w:rPr>
              <w:t xml:space="preserve">Income statement</w:t>
            </w:r>
          </w:p>
        </w:tc>
        <w:tc>
          <w:tcPr>
            <w:tcW w:type="pct" w:w="812"/>
            <w:shd w:fill="FFFFFF" w:val="clear"/>
            <w:tcMar>
              <w:top w:type="dxa" w:w="50"/>
              <w:left w:type="dxa" w:w="110"/>
              <w:bottom w:type="dxa" w:w="50"/>
              <w:right w:type="dxa" w:w="110"/>
            </w:tcMar>
          </w:tcPr>
          <w:p>
            <w:pPr>
              <w:spacing w:before="54" w:after="54"/>
            </w:pPr>
            <w:r>
              <w:rPr>
                <w:sz w:val="18"/>
                <w:szCs w:val="18"/>
              </w:rPr>
              <w:t xml:space="preserve"/>
            </w:r>
          </w:p>
        </w:tc>
        <w:tc>
          <w:tcPr>
            <w:tcW w:type="pct" w:w="1272"/>
            <w:shd w:fill="FFFFFF" w:val="clear"/>
            <w:tcMar>
              <w:top w:type="dxa" w:w="50"/>
              <w:left w:type="dxa" w:w="110"/>
              <w:bottom w:type="dxa" w:w="50"/>
              <w:right w:type="dxa" w:w="110"/>
            </w:tcMar>
          </w:tcPr>
          <w:p>
            <w:pPr>
              <w:spacing w:before="54" w:after="54"/>
            </w:pPr>
            <w:r>
              <w:rPr>
                <w:sz w:val="18"/>
                <w:szCs w:val="18"/>
              </w:rPr>
              <w:t xml:space="preserve"/>
            </w:r>
          </w:p>
        </w:tc>
        <w:tc>
          <w:tcPr>
            <w:tcW w:type="pct" w:w="607"/>
            <w:shd w:fill="FFFFFF" w:val="clear"/>
            <w:tcMar>
              <w:top w:type="dxa" w:w="50"/>
              <w:left w:type="dxa" w:w="110"/>
              <w:bottom w:type="dxa" w:w="50"/>
              <w:right w:type="dxa" w:w="110"/>
            </w:tcMar>
          </w:tcPr>
          <w:p>
            <w:pPr>
              <w:spacing w:before="54" w:after="54"/>
            </w:pPr>
            <w:r>
              <w:rPr>
                <w:sz w:val="18"/>
                <w:szCs w:val="18"/>
              </w:rPr>
              <w:t xml:space="preserve"/>
            </w:r>
          </w:p>
        </w:tc>
        <w:tc>
          <w:tcPr>
            <w:tcW w:type="pct" w:w="965"/>
            <w:shd w:fill="FFFFFF" w:val="clear"/>
            <w:tcMar>
              <w:top w:type="dxa" w:w="50"/>
              <w:left w:type="dxa" w:w="110"/>
              <w:bottom w:type="dxa" w:w="50"/>
              <w:right w:type="dxa" w:w="110"/>
            </w:tcMar>
          </w:tcPr>
          <w:p>
            <w:pPr>
              <w:spacing w:before="54" w:after="54"/>
            </w:pPr>
            <w:r>
              <w:rPr>
                <w:sz w:val="18"/>
                <w:szCs w:val="18"/>
              </w:rPr>
              <w:t xml:space="preserve"/>
            </w:r>
          </w:p>
        </w:tc>
      </w:tr>
      <w:tr>
        <w:tc>
          <w:tcPr>
            <w:tcW w:type="pct" w:w="1344"/>
            <w:tcMar>
              <w:top w:type="dxa" w:w="50"/>
              <w:left w:type="dxa" w:w="110"/>
              <w:bottom w:type="dxa" w:w="50"/>
              <w:right w:type="dxa" w:w="110"/>
            </w:tcMar>
          </w:tcPr>
          <w:p>
            <w:pPr>
              <w:spacing w:before="32" w:after="32"/>
            </w:pPr>
            <w:r>
              <w:rPr>
                <w:sz w:val="16"/>
                <w:szCs w:val="16"/>
              </w:rPr>
              <w:t xml:space="preserve">Taxes when prices rise</w:t>
            </w:r>
          </w:p>
        </w:tc>
        <w:tc>
          <w:tcPr>
            <w:tcW w:type="pct" w:w="812"/>
            <w:shd w:fill="FFFFFF" w:val="clear"/>
            <w:tcMar>
              <w:top w:type="dxa" w:w="50"/>
              <w:left w:type="dxa" w:w="110"/>
              <w:bottom w:type="dxa" w:w="50"/>
              <w:right w:type="dxa" w:w="110"/>
            </w:tcMar>
          </w:tcPr>
          <w:p>
            <w:pPr>
              <w:spacing w:before="54" w:after="54"/>
            </w:pPr>
            <w:r>
              <w:rPr>
                <w:sz w:val="18"/>
                <w:szCs w:val="18"/>
              </w:rPr>
              <w:t xml:space="preserve"/>
            </w:r>
          </w:p>
        </w:tc>
        <w:tc>
          <w:tcPr>
            <w:tcW w:type="pct" w:w="1272"/>
            <w:shd w:fill="FFFFFF" w:val="clear"/>
            <w:tcMar>
              <w:top w:type="dxa" w:w="50"/>
              <w:left w:type="dxa" w:w="110"/>
              <w:bottom w:type="dxa" w:w="50"/>
              <w:right w:type="dxa" w:w="110"/>
            </w:tcMar>
          </w:tcPr>
          <w:p>
            <w:pPr>
              <w:spacing w:before="54" w:after="54"/>
            </w:pPr>
            <w:r>
              <w:rPr>
                <w:sz w:val="18"/>
                <w:szCs w:val="18"/>
              </w:rPr>
              <w:t xml:space="preserve"/>
            </w:r>
          </w:p>
        </w:tc>
        <w:tc>
          <w:tcPr>
            <w:tcW w:type="pct" w:w="607"/>
            <w:shd w:fill="FFFFFF" w:val="clear"/>
            <w:tcMar>
              <w:top w:type="dxa" w:w="50"/>
              <w:left w:type="dxa" w:w="110"/>
              <w:bottom w:type="dxa" w:w="50"/>
              <w:right w:type="dxa" w:w="110"/>
            </w:tcMar>
          </w:tcPr>
          <w:p>
            <w:pPr>
              <w:spacing w:before="54" w:after="54"/>
            </w:pPr>
            <w:r>
              <w:rPr>
                <w:sz w:val="18"/>
                <w:szCs w:val="18"/>
              </w:rPr>
              <w:t xml:space="preserve"/>
            </w:r>
          </w:p>
        </w:tc>
        <w:tc>
          <w:tcPr>
            <w:tcW w:type="pct" w:w="965"/>
            <w:shd w:fill="FFFFFF" w:val="clear"/>
            <w:tcMar>
              <w:top w:type="dxa" w:w="50"/>
              <w:left w:type="dxa" w:w="110"/>
              <w:bottom w:type="dxa" w:w="50"/>
              <w:right w:type="dxa" w:w="110"/>
            </w:tcMar>
          </w:tcPr>
          <w:p>
            <w:pPr>
              <w:spacing w:before="54" w:after="54"/>
            </w:pPr>
            <w:r>
              <w:rPr>
                <w:sz w:val="18"/>
                <w:szCs w:val="18"/>
              </w:rPr>
              <w:t xml:space="preserve"/>
            </w:r>
          </w:p>
        </w:tc>
      </w:tr>
      <w:tr>
        <w:tc>
          <w:tcPr>
            <w:tcW w:type="pct" w:w="1344"/>
            <w:shd w:fill="FBFAF6" w:val="clear"/>
            <w:tcMar>
              <w:top w:type="dxa" w:w="50"/>
              <w:left w:type="dxa" w:w="110"/>
              <w:bottom w:type="dxa" w:w="50"/>
              <w:right w:type="dxa" w:w="110"/>
            </w:tcMar>
          </w:tcPr>
          <w:p>
            <w:pPr>
              <w:spacing w:before="32" w:after="32"/>
            </w:pPr>
            <w:r>
              <w:rPr>
                <w:sz w:val="16"/>
                <w:szCs w:val="16"/>
              </w:rPr>
              <w:t xml:space="preserve">Allowed under IFRS?</w:t>
            </w:r>
          </w:p>
        </w:tc>
        <w:tc>
          <w:tcPr>
            <w:tcW w:type="pct" w:w="812"/>
            <w:shd w:fill="FFFFFF" w:val="clear"/>
            <w:tcMar>
              <w:top w:type="dxa" w:w="50"/>
              <w:left w:type="dxa" w:w="110"/>
              <w:bottom w:type="dxa" w:w="50"/>
              <w:right w:type="dxa" w:w="110"/>
            </w:tcMar>
          </w:tcPr>
          <w:p>
            <w:pPr>
              <w:spacing w:before="54" w:after="54"/>
            </w:pPr>
            <w:r>
              <w:rPr>
                <w:sz w:val="18"/>
                <w:szCs w:val="18"/>
              </w:rPr>
              <w:t xml:space="preserve"/>
            </w:r>
          </w:p>
        </w:tc>
        <w:tc>
          <w:tcPr>
            <w:tcW w:type="pct" w:w="1272"/>
            <w:shd w:fill="FFFFFF" w:val="clear"/>
            <w:tcMar>
              <w:top w:type="dxa" w:w="50"/>
              <w:left w:type="dxa" w:w="110"/>
              <w:bottom w:type="dxa" w:w="50"/>
              <w:right w:type="dxa" w:w="110"/>
            </w:tcMar>
          </w:tcPr>
          <w:p>
            <w:pPr>
              <w:spacing w:before="54" w:after="54"/>
            </w:pPr>
            <w:r>
              <w:rPr>
                <w:sz w:val="18"/>
                <w:szCs w:val="18"/>
              </w:rPr>
              <w:t xml:space="preserve"/>
            </w:r>
          </w:p>
        </w:tc>
        <w:tc>
          <w:tcPr>
            <w:tcW w:type="pct" w:w="607"/>
            <w:shd w:fill="FFFFFF" w:val="clear"/>
            <w:tcMar>
              <w:top w:type="dxa" w:w="50"/>
              <w:left w:type="dxa" w:w="110"/>
              <w:bottom w:type="dxa" w:w="50"/>
              <w:right w:type="dxa" w:w="110"/>
            </w:tcMar>
          </w:tcPr>
          <w:p>
            <w:pPr>
              <w:spacing w:before="54" w:after="54"/>
            </w:pPr>
            <w:r>
              <w:rPr>
                <w:sz w:val="18"/>
                <w:szCs w:val="18"/>
              </w:rPr>
              <w:t xml:space="preserve"/>
            </w:r>
          </w:p>
        </w:tc>
        <w:tc>
          <w:tcPr>
            <w:tcW w:type="pct" w:w="965"/>
            <w:shd w:fill="FFFFFF" w:val="clear"/>
            <w:tcMar>
              <w:top w:type="dxa" w:w="50"/>
              <w:left w:type="dxa" w:w="110"/>
              <w:bottom w:type="dxa" w:w="50"/>
              <w:right w:type="dxa" w:w="110"/>
            </w:tcMar>
          </w:tcPr>
          <w:p>
            <w:pPr>
              <w:spacing w:before="54" w:after="54"/>
            </w:pPr>
            <w:r>
              <w:rPr>
                <w:sz w:val="18"/>
                <w:szCs w:val="18"/>
              </w:rPr>
              <w:t xml:space="preserve"/>
            </w:r>
          </w:p>
        </w:tc>
      </w:tr>
      <w:tr>
        <w:tc>
          <w:tcPr>
            <w:tcW w:type="pct" w:w="1344"/>
            <w:tcMar>
              <w:top w:type="dxa" w:w="50"/>
              <w:left w:type="dxa" w:w="110"/>
              <w:bottom w:type="dxa" w:w="50"/>
              <w:right w:type="dxa" w:w="110"/>
            </w:tcMar>
          </w:tcPr>
          <w:p>
            <w:pPr>
              <w:spacing w:before="32" w:after="32"/>
            </w:pPr>
            <w:r>
              <w:rPr>
                <w:sz w:val="16"/>
                <w:szCs w:val="16"/>
              </w:rPr>
              <w:t xml:space="preserve">Risk of manipulation</w:t>
            </w:r>
          </w:p>
        </w:tc>
        <w:tc>
          <w:tcPr>
            <w:tcW w:type="pct" w:w="812"/>
            <w:shd w:fill="FFFFFF" w:val="clear"/>
            <w:tcMar>
              <w:top w:type="dxa" w:w="50"/>
              <w:left w:type="dxa" w:w="110"/>
              <w:bottom w:type="dxa" w:w="50"/>
              <w:right w:type="dxa" w:w="110"/>
            </w:tcMar>
          </w:tcPr>
          <w:p>
            <w:pPr>
              <w:spacing w:before="54" w:after="54"/>
            </w:pPr>
            <w:r>
              <w:rPr>
                <w:sz w:val="18"/>
                <w:szCs w:val="18"/>
              </w:rPr>
              <w:t xml:space="preserve"/>
            </w:r>
          </w:p>
        </w:tc>
        <w:tc>
          <w:tcPr>
            <w:tcW w:type="pct" w:w="1272"/>
            <w:shd w:fill="FFFFFF" w:val="clear"/>
            <w:tcMar>
              <w:top w:type="dxa" w:w="50"/>
              <w:left w:type="dxa" w:w="110"/>
              <w:bottom w:type="dxa" w:w="50"/>
              <w:right w:type="dxa" w:w="110"/>
            </w:tcMar>
          </w:tcPr>
          <w:p>
            <w:pPr>
              <w:spacing w:before="54" w:after="54"/>
            </w:pPr>
            <w:r>
              <w:rPr>
                <w:sz w:val="18"/>
                <w:szCs w:val="18"/>
              </w:rPr>
              <w:t xml:space="preserve"/>
            </w:r>
          </w:p>
        </w:tc>
        <w:tc>
          <w:tcPr>
            <w:tcW w:type="pct" w:w="607"/>
            <w:shd w:fill="FFFFFF" w:val="clear"/>
            <w:tcMar>
              <w:top w:type="dxa" w:w="50"/>
              <w:left w:type="dxa" w:w="110"/>
              <w:bottom w:type="dxa" w:w="50"/>
              <w:right w:type="dxa" w:w="110"/>
            </w:tcMar>
          </w:tcPr>
          <w:p>
            <w:pPr>
              <w:spacing w:before="54" w:after="54"/>
            </w:pPr>
            <w:r>
              <w:rPr>
                <w:sz w:val="18"/>
                <w:szCs w:val="18"/>
              </w:rPr>
              <w:t xml:space="preserve"/>
            </w:r>
          </w:p>
        </w:tc>
        <w:tc>
          <w:tcPr>
            <w:tcW w:type="pct" w:w="965"/>
            <w:shd w:fill="FFFFFF" w:val="clear"/>
            <w:tcMar>
              <w:top w:type="dxa" w:w="50"/>
              <w:left w:type="dxa" w:w="110"/>
              <w:bottom w:type="dxa" w:w="50"/>
              <w:right w:type="dxa" w:w="110"/>
            </w:tcMar>
          </w:tcPr>
          <w:p>
            <w:pPr>
              <w:spacing w:before="54" w:after="54"/>
            </w:pPr>
            <w:r>
              <w:rPr>
                <w:sz w:val="18"/>
                <w:szCs w:val="18"/>
              </w:rPr>
              <w:t xml:space="preserve"/>
            </w:r>
          </w:p>
        </w:tc>
      </w:tr>
      <w:tr>
        <w:tc>
          <w:tcPr>
            <w:tcW w:type="pct" w:w="1344"/>
            <w:shd w:fill="FBFAF6" w:val="clear"/>
            <w:tcMar>
              <w:top w:type="dxa" w:w="50"/>
              <w:left w:type="dxa" w:w="110"/>
              <w:bottom w:type="dxa" w:w="50"/>
              <w:right w:type="dxa" w:w="110"/>
            </w:tcMar>
          </w:tcPr>
          <w:p>
            <w:pPr>
              <w:spacing w:before="32" w:after="32"/>
            </w:pPr>
            <w:r>
              <w:rPr>
                <w:sz w:val="16"/>
                <w:szCs w:val="16"/>
              </w:rPr>
              <w:t xml:space="preserve">Cost of records</w:t>
            </w:r>
          </w:p>
        </w:tc>
        <w:tc>
          <w:tcPr>
            <w:tcW w:type="pct" w:w="812"/>
            <w:shd w:fill="FFFFFF" w:val="clear"/>
            <w:tcMar>
              <w:top w:type="dxa" w:w="50"/>
              <w:left w:type="dxa" w:w="110"/>
              <w:bottom w:type="dxa" w:w="50"/>
              <w:right w:type="dxa" w:w="110"/>
            </w:tcMar>
          </w:tcPr>
          <w:p>
            <w:pPr>
              <w:spacing w:before="54" w:after="54"/>
            </w:pPr>
            <w:r>
              <w:rPr>
                <w:sz w:val="18"/>
                <w:szCs w:val="18"/>
              </w:rPr>
              <w:t xml:space="preserve"/>
            </w:r>
          </w:p>
        </w:tc>
        <w:tc>
          <w:tcPr>
            <w:tcW w:type="pct" w:w="1272"/>
            <w:shd w:fill="FFFFFF" w:val="clear"/>
            <w:tcMar>
              <w:top w:type="dxa" w:w="50"/>
              <w:left w:type="dxa" w:w="110"/>
              <w:bottom w:type="dxa" w:w="50"/>
              <w:right w:type="dxa" w:w="110"/>
            </w:tcMar>
          </w:tcPr>
          <w:p>
            <w:pPr>
              <w:spacing w:before="54" w:after="54"/>
            </w:pPr>
            <w:r>
              <w:rPr>
                <w:sz w:val="18"/>
                <w:szCs w:val="18"/>
              </w:rPr>
              <w:t xml:space="preserve"/>
            </w:r>
          </w:p>
        </w:tc>
        <w:tc>
          <w:tcPr>
            <w:tcW w:type="pct" w:w="607"/>
            <w:shd w:fill="FFFFFF" w:val="clear"/>
            <w:tcMar>
              <w:top w:type="dxa" w:w="50"/>
              <w:left w:type="dxa" w:w="110"/>
              <w:bottom w:type="dxa" w:w="50"/>
              <w:right w:type="dxa" w:w="110"/>
            </w:tcMar>
          </w:tcPr>
          <w:p>
            <w:pPr>
              <w:spacing w:before="54" w:after="54"/>
            </w:pPr>
            <w:r>
              <w:rPr>
                <w:sz w:val="18"/>
                <w:szCs w:val="18"/>
              </w:rPr>
              <w:t xml:space="preserve"/>
            </w:r>
          </w:p>
        </w:tc>
        <w:tc>
          <w:tcPr>
            <w:tcW w:type="pct" w:w="965"/>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20.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replacement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gross profit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مجمل الربح</w:t>
            </w:r>
          </w:p>
        </w:tc>
      </w:tr>
      <w:tr>
        <w:tc>
          <w:tcPr>
            <w:tcW w:type="pct" w:w="2600"/>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0"/>
            <w:tcMar>
              <w:top w:type="dxa" w:w="50"/>
              <w:left w:type="dxa" w:w="110"/>
              <w:bottom w:type="dxa" w:w="50"/>
              <w:right w:type="dxa" w:w="110"/>
            </w:tcMar>
          </w:tcPr>
          <w:p>
            <w:pPr>
              <w:spacing w:before="26" w:after="26"/>
            </w:pPr>
            <w:r>
              <w:rPr>
                <w:color w:val="232733"/>
                <w:sz w:val="16"/>
                <w:szCs w:val="16"/>
              </w:rPr>
              <w:t xml:space="preserve">التزام شراء</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23.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24.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26.  </w:t>
      </w:r>
      <w:r>
        <w:rPr>
          <w:sz w:val="19"/>
          <w:szCs w:val="19"/>
        </w:rPr>
        <w:t xml:space="preserve">Rebuild the figure from this handout. Label every part and fill in every box.</w:t>
      </w:r>
    </w:p>
    <w:p>
      <w:pPr>
        <w:spacing w:after="40" w:before="90"/>
        <w:jc w:val="center"/>
      </w:pPr>
      <w:r>
        <w:drawing>
          <wp:inline distT="0" distB="0" distL="0" distR="0">
            <wp:extent cx="5734050" cy="17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7353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replacement cost  ·  gross profit method  ·  purchase commitment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8.5</w:t>
      </w:r>
    </w:p>
    <w:p>
      <w:pPr>
        <w:spacing w:after="8"/>
      </w:pPr>
      <w:r>
        <w:rPr>
          <w:color w:val="23265A"/>
          <w:sz w:val="22"/>
          <w:szCs w:val="22"/>
        </w:rPr>
        <w:t xml:space="preserve">Recommending a method</w:t>
      </w:r>
    </w:p>
    <w:p>
      <w:pPr>
        <w:spacing w:after="130"/>
      </w:pPr>
      <w:r>
        <w:rPr>
          <w:color w:val="6B7280"/>
          <w:sz w:val="20"/>
          <w:szCs w:val="20"/>
        </w:rPr>
        <w:t xml:space="preserve">section 8.5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35"/>
        <w:gridCol w:w="3427"/>
        <w:gridCol w:w="413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6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8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55"/>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60"/>
            <w:tcMar>
              <w:top w:type="dxa" w:w="50"/>
              <w:left w:type="dxa" w:w="110"/>
              <w:bottom w:type="dxa" w:w="50"/>
              <w:right w:type="dxa" w:w="110"/>
            </w:tcMar>
          </w:tcPr>
          <w:p>
            <w:pPr>
              <w:spacing w:before="26" w:after="26"/>
            </w:pPr>
            <w:r>
              <w:rPr>
                <w:color w:val="232733"/>
                <w:sz w:val="16"/>
                <w:szCs w:val="16"/>
              </w:rPr>
              <w:t xml:space="preserve">Recommending a method</w:t>
            </w:r>
          </w:p>
        </w:tc>
        <w:tc>
          <w:tcPr>
            <w:tcW w:type="pct" w:w="1785"/>
            <w:tcMar>
              <w:top w:type="dxa" w:w="50"/>
              <w:left w:type="dxa" w:w="110"/>
              <w:bottom w:type="dxa" w:w="50"/>
              <w:right w:type="dxa" w:w="110"/>
            </w:tcMar>
          </w:tcPr>
          <w:p>
            <w:pPr>
              <w:spacing w:before="26" w:after="26"/>
            </w:pPr>
            <w:r>
              <w:rPr>
                <w:color w:val="232733"/>
                <w:sz w:val="16"/>
                <w:szCs w:val="16"/>
              </w:rPr>
              <w:t xml:space="preserve">a figure to read · Product line</w:t>
            </w:r>
          </w:p>
        </w:tc>
        <w:tc>
          <w:tcPr>
            <w:tcW w:type="pct" w:w="2155"/>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6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85"/>
            <w:shd w:fill="FBFAF6" w:val="clear"/>
            <w:tcMar>
              <w:top w:type="dxa" w:w="50"/>
              <w:left w:type="dxa" w:w="110"/>
              <w:bottom w:type="dxa" w:w="50"/>
              <w:right w:type="dxa" w:w="110"/>
            </w:tcMar>
          </w:tcPr>
          <w:p>
            <w:pPr>
              <w:spacing w:before="26" w:after="26"/>
            </w:pPr>
            <w:r>
              <w:rPr>
                <w:color w:val="232733"/>
                <w:sz w:val="16"/>
                <w:szCs w:val="16"/>
              </w:rPr>
              <w:t xml:space="preserve">Product line · The English the exam uses, and what it translates</w:t>
            </w:r>
          </w:p>
        </w:tc>
        <w:tc>
          <w:tcPr>
            <w:tcW w:type="pct" w:w="2155"/>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6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400"/>
            <w:tcMar>
              <w:top w:type="dxa" w:w="50"/>
              <w:left w:type="dxa" w:w="110"/>
              <w:bottom w:type="dxa" w:w="50"/>
              <w:right w:type="dxa" w:w="110"/>
            </w:tcMar>
          </w:tcPr>
          <w:p>
            <w:pPr>
              <w:spacing w:before="26" w:after="26"/>
            </w:pPr>
            <w:r>
              <w:rPr>
                <w:color w:val="232733"/>
                <w:sz w:val="16"/>
                <w:szCs w:val="16"/>
              </w:rPr>
              <w:t xml:space="preserve">write-down</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ceiling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recommend   ·   inventory   ·   recommending   ·   ceiling   ·   markup</w:t>
      </w:r>
    </w:p>
    <w:p>
      <w:pPr>
        <w:spacing w:before="36" w:after="36"/>
        <w:ind w:left="300"/>
      </w:pPr>
      <w:r>
        <w:rPr>
          <w:sz w:val="19"/>
          <w:szCs w:val="19"/>
        </w:rPr>
        <w:t xml:space="preserve">A Level C question may give you a set of facts and ask you to </w:t>
      </w:r>
      <w:r>
        <w:rPr>
          <w:u w:val="single"/>
          <w:sz w:val="19"/>
          <w:szCs w:val="19"/>
        </w:rPr>
        <w:t xml:space="preserve">           </w:t>
      </w:r>
      <w:r>
        <w:rPr>
          <w:sz w:val="19"/>
          <w:szCs w:val="19"/>
        </w:rPr>
        <w:t xml:space="preserve"> a method. Decision path for </w:t>
      </w:r>
      <w:r>
        <w:rPr>
          <w:u w:val="single"/>
          <w:sz w:val="19"/>
          <w:szCs w:val="19"/>
        </w:rPr>
        <w:t xml:space="preserve">              </w:t>
      </w:r>
      <w:r>
        <w:rPr>
          <w:sz w:val="19"/>
          <w:szCs w:val="19"/>
        </w:rPr>
        <w:t xml:space="preserve"> an </w:t>
      </w:r>
      <w:r>
        <w:rPr>
          <w:u w:val="single"/>
          <w:sz w:val="19"/>
          <w:szCs w:val="19"/>
        </w:rPr>
        <w:t xml:space="preserve">           </w:t>
      </w:r>
      <w:r>
        <w:rPr>
          <w:sz w:val="19"/>
          <w:szCs w:val="19"/>
        </w:rPr>
        <w:t xml:space="preserve"> cost flow method. Always check the facts that can rule a method out.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ceiling   ·   perishable   ·   conformity   ·   markup   ·   oldest-first</w:t>
      </w:r>
    </w:p>
    <w:p>
      <w:pPr>
        <w:spacing w:before="36" w:after="36"/>
        <w:ind w:left="300"/>
      </w:pPr>
      <w:r>
        <w:rPr>
          <w:sz w:val="19"/>
          <w:szCs w:val="19"/>
        </w:rPr>
        <w:t xml:space="preserve">The finance director wants lower taxes but also a balance sheet that lenders trust. Olive oil is a </w:t>
      </w:r>
      <w:r>
        <w:rPr>
          <w:u w:val="single"/>
          <w:sz w:val="19"/>
          <w:szCs w:val="19"/>
        </w:rPr>
        <w:t xml:space="preserve">            </w:t>
      </w:r>
      <w:r>
        <w:rPr>
          <w:sz w:val="19"/>
          <w:szCs w:val="19"/>
        </w:rPr>
        <w:t xml:space="preserve">, identical product that Orontes ships </w:t>
      </w:r>
      <w:r>
        <w:rPr>
          <w:u w:val="single"/>
          <w:sz w:val="19"/>
          <w:szCs w:val="19"/>
        </w:rPr>
        <w:t xml:space="preserve">              </w:t>
      </w:r>
      <w:r>
        <w:rPr>
          <w:sz w:val="19"/>
          <w:szCs w:val="19"/>
        </w:rPr>
        <w:t xml:space="preserve">. LIFO would lower taxes while prices rise, but </w:t>
      </w:r>
      <w:r>
        <w:rPr>
          <w:u w:val="single"/>
          <w:sz w:val="19"/>
          <w:szCs w:val="19"/>
        </w:rPr>
        <w:t xml:space="preserve">            </w:t>
      </w:r>
      <w:r>
        <w:rPr>
          <w:sz w:val="19"/>
          <w:szCs w:val="19"/>
        </w:rPr>
        <w:t xml:space="preserve"> would lower reported profits too, and the balance sheet would show old costs.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ceiling   ·   recommendation   ·   markup   ·   case-based   ·   priority</w:t>
      </w:r>
    </w:p>
    <w:p>
      <w:pPr>
        <w:spacing w:before="36" w:after="36"/>
        <w:ind w:left="300"/>
      </w:pPr>
      <w:r>
        <w:rPr>
          <w:sz w:val="19"/>
          <w:szCs w:val="19"/>
        </w:rPr>
        <w:t xml:space="preserve">The answer depends on the stated </w:t>
      </w:r>
      <w:r>
        <w:rPr>
          <w:u w:val="single"/>
          <w:sz w:val="19"/>
          <w:szCs w:val="19"/>
        </w:rPr>
        <w:t xml:space="preserve">           </w:t>
      </w:r>
      <w:r>
        <w:rPr>
          <w:sz w:val="19"/>
          <w:szCs w:val="19"/>
        </w:rPr>
        <w:t xml:space="preserve">, and a good exam answer names it. In a </w:t>
      </w:r>
      <w:r>
        <w:rPr>
          <w:u w:val="single"/>
          <w:sz w:val="19"/>
          <w:szCs w:val="19"/>
        </w:rPr>
        <w:t xml:space="preserve">            </w:t>
      </w:r>
      <w:r>
        <w:rPr>
          <w:sz w:val="19"/>
          <w:szCs w:val="19"/>
        </w:rPr>
        <w:t xml:space="preserve"> question, a </w:t>
      </w:r>
      <w:r>
        <w:rPr>
          <w:u w:val="single"/>
          <w:sz w:val="19"/>
          <w:szCs w:val="19"/>
        </w:rPr>
        <w:t xml:space="preserve">                </w:t>
      </w:r>
      <w:r>
        <w:rPr>
          <w:sz w:val="19"/>
          <w:szCs w:val="19"/>
        </w:rPr>
        <w:t xml:space="preserve"> earns credit only if it follows from the facts given. Check IFRS, taxes, price trends, the physical flow and the cost of records before you choose.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Recommending a method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Product line</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Pomegranate molasses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Rose water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Za'atar mix</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Frozen kibbeh</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Olive-oil soap</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8.1?</w:t>
      </w:r>
    </w:p>
    <w:p>
      <w:pPr>
        <w:spacing w:after="18"/>
        <w:ind w:left="560" w:hanging="260"/>
      </w:pPr>
      <w:r>
        <w:rPr>
          <w:b/>
          <w:bCs/>
          <w:color w:val="8186EF"/>
          <w:sz w:val="18"/>
          <w:szCs w:val="18"/>
        </w:rPr>
        <w:t xml:space="preserve">A. </w:t>
      </w:r>
      <w:r>
        <w:rPr>
          <w:sz w:val="18"/>
          <w:szCs w:val="18"/>
        </w:rPr>
        <w:t xml:space="preserve">Recommending a method</w:t>
      </w:r>
    </w:p>
    <w:p>
      <w:pPr>
        <w:spacing w:after="18"/>
        <w:ind w:left="560" w:hanging="260"/>
      </w:pPr>
      <w:r>
        <w:rPr>
          <w:b/>
          <w:bCs/>
          <w:color w:val="8186EF"/>
          <w:sz w:val="18"/>
          <w:szCs w:val="18"/>
        </w:rPr>
        <w:t xml:space="preserve">B. </w:t>
      </w:r>
      <w:r>
        <w:rPr>
          <w:sz w:val="18"/>
          <w:szCs w:val="18"/>
        </w:rPr>
        <w:t xml:space="preserve">Which test applies?</w:t>
      </w:r>
    </w:p>
    <w:p>
      <w:pPr>
        <w:spacing w:after="18"/>
        <w:ind w:left="560" w:hanging="260"/>
      </w:pPr>
      <w:r>
        <w:rPr>
          <w:b/>
          <w:bCs/>
          <w:color w:val="8186EF"/>
          <w:sz w:val="18"/>
          <w:szCs w:val="18"/>
        </w:rPr>
        <w:t xml:space="preserve">C. </w:t>
      </w:r>
      <w:r>
        <w:rPr>
          <w:sz w:val="18"/>
          <w:szCs w:val="18"/>
        </w:rPr>
        <w:t xml:space="preserve">Advantages and disadvantages of the methods</w:t>
      </w:r>
    </w:p>
    <w:p>
      <w:pPr>
        <w:spacing w:after="18"/>
        <w:ind w:left="560" w:hanging="260"/>
      </w:pPr>
      <w:r>
        <w:rPr>
          <w:b/>
          <w:bCs/>
          <w:color w:val="8186EF"/>
          <w:sz w:val="18"/>
          <w:szCs w:val="18"/>
        </w:rPr>
        <w:t xml:space="preserve">D. </w:t>
      </w:r>
      <w:r>
        <w:rPr>
          <w:sz w:val="18"/>
          <w:szCs w:val="18"/>
        </w:rPr>
        <w:t xml:space="preserve">Lower of cost or market</w:t>
      </w:r>
    </w:p>
    <w:p>
      <w:pPr>
        <w:spacing w:before="40" w:after="16"/>
        <w:ind w:left="300" w:hanging="300"/>
      </w:pPr>
      <w:r>
        <w:rPr>
          <w:b/>
          <w:bCs/>
          <w:color w:val="353A7C"/>
          <w:sz w:val="19"/>
          <w:szCs w:val="19"/>
        </w:rPr>
        <w:t xml:space="preserve">6.  </w:t>
      </w:r>
      <w:r>
        <w:rPr>
          <w:sz w:val="19"/>
          <w:szCs w:val="19"/>
        </w:rPr>
        <w:t xml:space="preserve">Which part of this chapter is section 8.2?</w:t>
      </w:r>
    </w:p>
    <w:p>
      <w:pPr>
        <w:spacing w:after="18"/>
        <w:ind w:left="560" w:hanging="260"/>
      </w:pPr>
      <w:r>
        <w:rPr>
          <w:b/>
          <w:bCs/>
          <w:color w:val="8186EF"/>
          <w:sz w:val="18"/>
          <w:szCs w:val="18"/>
        </w:rPr>
        <w:t xml:space="preserve">A. </w:t>
      </w:r>
      <w:r>
        <w:rPr>
          <w:sz w:val="18"/>
          <w:szCs w:val="18"/>
        </w:rPr>
        <w:t xml:space="preserve">Which test applies?</w:t>
      </w:r>
    </w:p>
    <w:p>
      <w:pPr>
        <w:spacing w:after="18"/>
        <w:ind w:left="560" w:hanging="260"/>
      </w:pPr>
      <w:r>
        <w:rPr>
          <w:b/>
          <w:bCs/>
          <w:color w:val="8186EF"/>
          <w:sz w:val="18"/>
          <w:szCs w:val="18"/>
        </w:rPr>
        <w:t xml:space="preserve">B. </w:t>
      </w:r>
      <w:r>
        <w:rPr>
          <w:sz w:val="18"/>
          <w:szCs w:val="18"/>
        </w:rPr>
        <w:t xml:space="preserve">Advantages and disadvantages of the methods</w:t>
      </w:r>
    </w:p>
    <w:p>
      <w:pPr>
        <w:spacing w:after="18"/>
        <w:ind w:left="560" w:hanging="260"/>
      </w:pPr>
      <w:r>
        <w:rPr>
          <w:b/>
          <w:bCs/>
          <w:color w:val="8186EF"/>
          <w:sz w:val="18"/>
          <w:szCs w:val="18"/>
        </w:rPr>
        <w:t xml:space="preserve">C. </w:t>
      </w:r>
      <w:r>
        <w:rPr>
          <w:sz w:val="18"/>
          <w:szCs w:val="18"/>
        </w:rPr>
        <w:t xml:space="preserve">Lower of cost or market</w:t>
      </w:r>
    </w:p>
    <w:p>
      <w:pPr>
        <w:spacing w:after="18"/>
        <w:ind w:left="560" w:hanging="260"/>
      </w:pPr>
      <w:r>
        <w:rPr>
          <w:b/>
          <w:bCs/>
          <w:color w:val="8186EF"/>
          <w:sz w:val="18"/>
          <w:szCs w:val="18"/>
        </w:rPr>
        <w:t xml:space="preserve">D. </w:t>
      </w:r>
      <w:r>
        <w:rPr>
          <w:sz w:val="18"/>
          <w:szCs w:val="18"/>
        </w:rPr>
        <w:t xml:space="preserve">Recommending a method</w:t>
      </w:r>
    </w:p>
    <w:p>
      <w:pPr>
        <w:spacing w:before="40" w:after="16"/>
        <w:ind w:left="300" w:hanging="300"/>
      </w:pPr>
      <w:r>
        <w:rPr>
          <w:b/>
          <w:bCs/>
          <w:color w:val="353A7C"/>
          <w:sz w:val="19"/>
          <w:szCs w:val="19"/>
        </w:rPr>
        <w:t xml:space="preserve">7.  </w:t>
      </w:r>
      <w:r>
        <w:rPr>
          <w:sz w:val="19"/>
          <w:szCs w:val="19"/>
        </w:rPr>
        <w:t xml:space="preserve">Which part of this chapter is section 8.3?</w:t>
      </w:r>
    </w:p>
    <w:p>
      <w:pPr>
        <w:spacing w:after="18"/>
        <w:ind w:left="560" w:hanging="260"/>
      </w:pPr>
      <w:r>
        <w:rPr>
          <w:b/>
          <w:bCs/>
          <w:color w:val="8186EF"/>
          <w:sz w:val="18"/>
          <w:szCs w:val="18"/>
        </w:rPr>
        <w:t xml:space="preserve">A. </w:t>
      </w:r>
      <w:r>
        <w:rPr>
          <w:sz w:val="18"/>
          <w:szCs w:val="18"/>
        </w:rPr>
        <w:t xml:space="preserve">The retail inventory method and the gross profit method</w:t>
      </w:r>
    </w:p>
    <w:p>
      <w:pPr>
        <w:spacing w:after="18"/>
        <w:ind w:left="560" w:hanging="260"/>
      </w:pPr>
      <w:r>
        <w:rPr>
          <w:b/>
          <w:bCs/>
          <w:color w:val="8186EF"/>
          <w:sz w:val="18"/>
          <w:szCs w:val="18"/>
        </w:rPr>
        <w:t xml:space="preserve">B. </w:t>
      </w:r>
      <w:r>
        <w:rPr>
          <w:sz w:val="18"/>
          <w:szCs w:val="18"/>
        </w:rPr>
        <w:t xml:space="preserve">Lower of cost or market</w:t>
      </w:r>
    </w:p>
    <w:p>
      <w:pPr>
        <w:spacing w:after="18"/>
        <w:ind w:left="560" w:hanging="260"/>
      </w:pPr>
      <w:r>
        <w:rPr>
          <w:b/>
          <w:bCs/>
          <w:color w:val="8186EF"/>
          <w:sz w:val="18"/>
          <w:szCs w:val="18"/>
        </w:rPr>
        <w:t xml:space="preserve">C. </w:t>
      </w:r>
      <w:r>
        <w:rPr>
          <w:sz w:val="18"/>
          <w:szCs w:val="18"/>
        </w:rPr>
        <w:t xml:space="preserve">Recommending a method</w:t>
      </w:r>
    </w:p>
    <w:p>
      <w:pPr>
        <w:spacing w:after="18"/>
        <w:ind w:left="560" w:hanging="260"/>
      </w:pPr>
      <w:r>
        <w:rPr>
          <w:b/>
          <w:bCs/>
          <w:color w:val="8186EF"/>
          <w:sz w:val="18"/>
          <w:szCs w:val="18"/>
        </w:rPr>
        <w:t xml:space="preserve">D. </w:t>
      </w:r>
      <w:r>
        <w:rPr>
          <w:sz w:val="18"/>
          <w:szCs w:val="18"/>
        </w:rPr>
        <w:t xml:space="preserve">Advantages and disadvantages of the methods</w:t>
      </w:r>
    </w:p>
    <w:p>
      <w:pPr>
        <w:spacing w:before="40" w:after="16"/>
        <w:ind w:left="300" w:hanging="300"/>
      </w:pPr>
      <w:r>
        <w:rPr>
          <w:b/>
          <w:bCs/>
          <w:color w:val="353A7C"/>
          <w:sz w:val="19"/>
          <w:szCs w:val="19"/>
        </w:rPr>
        <w:t xml:space="preserve">8.  </w:t>
      </w:r>
      <w:r>
        <w:rPr>
          <w:sz w:val="19"/>
          <w:szCs w:val="19"/>
        </w:rPr>
        <w:t xml:space="preserve">Which part of this chapter is section 8.4?</w:t>
      </w:r>
    </w:p>
    <w:p>
      <w:pPr>
        <w:spacing w:after="18"/>
        <w:ind w:left="560" w:hanging="260"/>
      </w:pPr>
      <w:r>
        <w:rPr>
          <w:b/>
          <w:bCs/>
          <w:color w:val="8186EF"/>
          <w:sz w:val="18"/>
          <w:szCs w:val="18"/>
        </w:rPr>
        <w:t xml:space="preserve">A. </w:t>
      </w:r>
      <w:r>
        <w:rPr>
          <w:sz w:val="18"/>
          <w:szCs w:val="18"/>
        </w:rPr>
        <w:t xml:space="preserve">The retail inventory method and the gross profit method</w:t>
      </w:r>
    </w:p>
    <w:p>
      <w:pPr>
        <w:spacing w:after="18"/>
        <w:ind w:left="560" w:hanging="260"/>
      </w:pPr>
      <w:r>
        <w:rPr>
          <w:b/>
          <w:bCs/>
          <w:color w:val="8186EF"/>
          <w:sz w:val="18"/>
          <w:szCs w:val="18"/>
        </w:rPr>
        <w:t xml:space="preserve">B. </w:t>
      </w:r>
      <w:r>
        <w:rPr>
          <w:sz w:val="18"/>
          <w:szCs w:val="18"/>
        </w:rPr>
        <w:t xml:space="preserve">Recommending a method</w:t>
      </w:r>
    </w:p>
    <w:p>
      <w:pPr>
        <w:spacing w:after="18"/>
        <w:ind w:left="560" w:hanging="260"/>
      </w:pPr>
      <w:r>
        <w:rPr>
          <w:b/>
          <w:bCs/>
          <w:color w:val="8186EF"/>
          <w:sz w:val="18"/>
          <w:szCs w:val="18"/>
        </w:rPr>
        <w:t xml:space="preserve">C. </w:t>
      </w:r>
      <w:r>
        <w:rPr>
          <w:sz w:val="18"/>
          <w:szCs w:val="18"/>
        </w:rPr>
        <w:t xml:space="preserve">Lower of cost or market</w:t>
      </w:r>
    </w:p>
    <w:p>
      <w:pPr>
        <w:spacing w:after="18"/>
        <w:ind w:left="560" w:hanging="260"/>
      </w:pPr>
      <w:r>
        <w:rPr>
          <w:b/>
          <w:bCs/>
          <w:color w:val="8186EF"/>
          <w:sz w:val="18"/>
          <w:szCs w:val="18"/>
        </w:rPr>
        <w:t xml:space="preserve">D. </w:t>
      </w:r>
      <w:r>
        <w:rPr>
          <w:sz w:val="18"/>
          <w:szCs w:val="18"/>
        </w:rPr>
        <w:t xml:space="preserve">Advantages and disadvantages of the methods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Product line</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Pomegranate molasses</w:t>
            </w:r>
          </w:p>
        </w:tc>
        <w:tc>
          <w:tcPr>
            <w:tcW w:type="pct" w:w="2600"/>
            <w:tcMar>
              <w:top w:type="dxa" w:w="50"/>
              <w:left w:type="dxa" w:w="110"/>
              <w:bottom w:type="dxa" w:w="50"/>
              <w:right w:type="dxa" w:w="110"/>
            </w:tcMar>
          </w:tcPr>
          <w:p>
            <w:pPr>
              <w:spacing w:before="26" w:after="26"/>
            </w:pPr>
            <w:r>
              <w:rPr>
                <w:color w:val="232733"/>
                <w:sz w:val="16"/>
                <w:szCs w:val="16"/>
              </w:rPr>
              <w:t xml:space="preserve">LCM (market with ceiling and floor)</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Rose water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LCM (market with ceiling and floor)</w:t>
            </w:r>
          </w:p>
        </w:tc>
      </w:tr>
      <w:tr>
        <w:tc>
          <w:tcPr>
            <w:tcW w:type="pct" w:w="2400"/>
            <w:tcMar>
              <w:top w:type="dxa" w:w="50"/>
              <w:left w:type="dxa" w:w="110"/>
              <w:bottom w:type="dxa" w:w="50"/>
              <w:right w:type="dxa" w:w="110"/>
            </w:tcMar>
          </w:tcPr>
          <w:p>
            <w:pPr>
              <w:spacing w:before="26" w:after="26"/>
            </w:pPr>
            <w:r>
              <w:rPr>
                <w:color w:val="232733"/>
                <w:sz w:val="16"/>
                <w:szCs w:val="16"/>
              </w:rPr>
              <w:t xml:space="preserve">Za'atar mix</w:t>
            </w:r>
          </w:p>
        </w:tc>
        <w:tc>
          <w:tcPr>
            <w:tcW w:type="pct" w:w="2600"/>
            <w:tcMar>
              <w:top w:type="dxa" w:w="50"/>
              <w:left w:type="dxa" w:w="110"/>
              <w:bottom w:type="dxa" w:w="50"/>
              <w:right w:type="dxa" w:w="110"/>
            </w:tcMar>
          </w:tcPr>
          <w:p>
            <w:pPr>
              <w:spacing w:before="26" w:after="26"/>
            </w:pPr>
            <w:r>
              <w:rPr>
                <w:color w:val="232733"/>
                <w:sz w:val="16"/>
                <w:szCs w:val="16"/>
              </w:rPr>
              <w:t xml:space="preserve">LCNRV</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Frozen kibbeh</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LCNRV</w:t>
            </w:r>
          </w:p>
        </w:tc>
      </w:tr>
      <w:tr>
        <w:tc>
          <w:tcPr>
            <w:tcW w:type="pct" w:w="2400"/>
            <w:tcMar>
              <w:top w:type="dxa" w:w="50"/>
              <w:left w:type="dxa" w:w="110"/>
              <w:bottom w:type="dxa" w:w="50"/>
              <w:right w:type="dxa" w:w="110"/>
            </w:tcMar>
          </w:tcPr>
          <w:p>
            <w:pPr>
              <w:spacing w:before="26" w:after="26"/>
            </w:pPr>
            <w:r>
              <w:rPr>
                <w:color w:val="232733"/>
                <w:sz w:val="16"/>
                <w:szCs w:val="16"/>
              </w:rPr>
              <w:t xml:space="preserve">Olive-oil soap</w:t>
            </w:r>
          </w:p>
        </w:tc>
        <w:tc>
          <w:tcPr>
            <w:tcW w:type="pct" w:w="2600"/>
            <w:tcMar>
              <w:top w:type="dxa" w:w="50"/>
              <w:left w:type="dxa" w:w="110"/>
              <w:bottom w:type="dxa" w:w="50"/>
              <w:right w:type="dxa" w:w="110"/>
            </w:tcMar>
          </w:tcPr>
          <w:p>
            <w:pPr>
              <w:spacing w:before="26" w:after="26"/>
            </w:pPr>
            <w:r>
              <w:rPr>
                <w:color w:val="232733"/>
                <w:sz w:val="16"/>
                <w:szCs w:val="16"/>
              </w:rPr>
              <w:t xml:space="preserve">LCNRV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write-down</w:t>
            </w:r>
          </w:p>
        </w:tc>
        <w:tc>
          <w:tcPr>
            <w:tcW w:type="pct" w:w="2600"/>
            <w:tcMar>
              <w:top w:type="dxa" w:w="50"/>
              <w:left w:type="dxa" w:w="110"/>
              <w:bottom w:type="dxa" w:w="50"/>
              <w:right w:type="dxa" w:w="110"/>
            </w:tcMar>
          </w:tcPr>
          <w:p>
            <w:pPr>
              <w:spacing w:before="26" w:after="26"/>
            </w:pPr>
            <w:r>
              <w:rPr>
                <w:color w:val="232733"/>
                <w:sz w:val="16"/>
                <w:szCs w:val="16"/>
              </w:rPr>
              <w:t xml:space="preserve">تخفيض القيمة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ceiling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Which product line does the book pair with “LCM (market with ceiling and floor)”?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Pomegranate molasses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Frozen kibbeh</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Olive-oil soap</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Za'atar mix</w:t>
            </w:r>
          </w:p>
        </w:tc>
      </w:tr>
    </w:tbl>
    <w:p>
      <w:pPr>
        <w:spacing w:before="40" w:after="16"/>
        <w:ind w:left="300" w:hanging="300"/>
      </w:pPr>
      <w:r>
        <w:rPr>
          <w:b/>
          <w:bCs/>
          <w:color w:val="353A7C"/>
          <w:sz w:val="19"/>
          <w:szCs w:val="19"/>
        </w:rPr>
        <w:t xml:space="preserve">13.  </w:t>
      </w:r>
      <w:r>
        <w:rPr>
          <w:sz w:val="19"/>
          <w:szCs w:val="19"/>
        </w:rPr>
        <w:t xml:space="preserve">Which product line does the book pair with “LCM (market with ceiling and floor)”?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Frozen kibbeh</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Rose water</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Olive-oil soap</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Za'atar mix</w:t>
            </w:r>
          </w:p>
        </w:tc>
      </w:tr>
    </w:tbl>
    <w:p>
      <w:pPr>
        <w:spacing w:before="40" w:after="16"/>
        <w:ind w:left="300" w:hanging="300"/>
      </w:pPr>
      <w:r>
        <w:rPr>
          <w:b/>
          <w:bCs/>
          <w:color w:val="353A7C"/>
          <w:sz w:val="19"/>
          <w:szCs w:val="19"/>
        </w:rPr>
        <w:t xml:space="preserve">14.  </w:t>
      </w:r>
      <w:r>
        <w:rPr>
          <w:sz w:val="19"/>
          <w:szCs w:val="19"/>
        </w:rPr>
        <w:t xml:space="preserve">Which product line does the book pair with “LCNRV”?</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Pomegranate molasses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Za'atar mix</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Rose water</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17.  </w:t>
      </w:r>
      <w:r>
        <w:rPr>
          <w:sz w:val="19"/>
          <w:szCs w:val="19"/>
        </w:rPr>
        <w:t xml:space="preserve">Rebuild the figure from this handout. Label every part and fill in every box.</w:t>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write-down  ·  ceiling  ·  markup</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95"/>
        <w:gridCol w:w="4992"/>
        <w:gridCol w:w="311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77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621"/>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779"/>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600"/>
            <w:tcMar>
              <w:top w:type="dxa" w:w="50"/>
              <w:left w:type="dxa" w:w="110"/>
              <w:bottom w:type="dxa" w:w="50"/>
              <w:right w:type="dxa" w:w="110"/>
            </w:tcMar>
          </w:tcPr>
          <w:p>
            <w:pPr>
              <w:spacing w:before="26" w:after="26"/>
            </w:pPr>
            <w:r>
              <w:rPr>
                <w:color w:val="232733"/>
                <w:sz w:val="16"/>
                <w:szCs w:val="16"/>
              </w:rPr>
              <w:t xml:space="preserve">a figure to read</w:t>
            </w:r>
          </w:p>
        </w:tc>
        <w:tc>
          <w:tcPr>
            <w:tcW w:type="pct" w:w="1621"/>
            <w:tcMar>
              <w:top w:type="dxa" w:w="50"/>
              <w:left w:type="dxa" w:w="110"/>
              <w:bottom w:type="dxa" w:w="50"/>
              <w:right w:type="dxa" w:w="110"/>
            </w:tcMar>
          </w:tcPr>
          <w:p>
            <w:pPr>
              <w:spacing w:before="26" w:after="26"/>
            </w:pPr>
            <w:r>
              <w:rPr>
                <w:color w:val="232733"/>
                <w:sz w:val="16"/>
                <w:szCs w:val="16"/>
              </w:rPr>
              <w:t xml:space="preserve">Orontes measures olive oil using FIFO. Which test applies at year-end?</w:t>
            </w:r>
          </w:p>
        </w:tc>
      </w:tr>
      <w:tr>
        <w:tc>
          <w:tcPr>
            <w:tcW w:type="pct" w:w="779"/>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 · Orontes olive oil, December 31, 2025</w:t>
            </w:r>
          </w:p>
        </w:tc>
        <w:tc>
          <w:tcPr>
            <w:tcW w:type="pct" w:w="1621"/>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779"/>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600"/>
            <w:tcMar>
              <w:top w:type="dxa" w:w="50"/>
              <w:left w:type="dxa" w:w="110"/>
              <w:bottom w:type="dxa" w:w="50"/>
              <w:right w:type="dxa" w:w="110"/>
            </w:tcMar>
          </w:tcPr>
          <w:p>
            <w:pPr>
              <w:spacing w:before="26" w:after="26"/>
            </w:pPr>
            <w:r>
              <w:rPr>
                <w:color w:val="232733"/>
                <w:sz w:val="16"/>
                <w:szCs w:val="16"/>
              </w:rPr>
              <w:t xml:space="preserve">net realizable value (NRV) · lower of cost and net realizable value (LCNRV) · lower of cost or market (LCM) · replacement cost · write-down · retail inventory method</w:t>
            </w:r>
          </w:p>
        </w:tc>
        <w:tc>
          <w:tcPr>
            <w:tcW w:type="pct" w:w="1621"/>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gross profit method   ·   markdown   ·   normal profit margin   ·   floor   ·   ceiling   ·   replacement cost   ·   write-down</w:t>
      </w:r>
    </w:p>
    <w:p>
      <w:pPr>
        <w:spacing w:before="36" w:after="36"/>
        <w:ind w:left="300"/>
      </w:pPr>
      <w:r>
        <w:rPr>
          <w:sz w:val="19"/>
          <w:szCs w:val="19"/>
        </w:rPr>
        <w:t xml:space="preserve">GAAP never reverses an annual </w:t>
      </w:r>
      <w:r>
        <w:rPr>
          <w:u w:val="single"/>
          <w:sz w:val="19"/>
          <w:szCs w:val="19"/>
        </w:rPr>
        <w:t xml:space="preserve">            </w:t>
      </w:r>
      <w:r>
        <w:rPr>
          <w:sz w:val="19"/>
          <w:szCs w:val="19"/>
        </w:rPr>
        <w:t xml:space="preserve">. SC8-1 Orontes measures olive oil using FIFO. Under LCM, market starts with </w:t>
      </w:r>
      <w:r>
        <w:rPr>
          <w:u w:val="single"/>
          <w:sz w:val="19"/>
          <w:szCs w:val="19"/>
        </w:rPr>
        <w:t xml:space="preserve">                  </w:t>
      </w:r>
      <w:r>
        <w:rPr>
          <w:sz w:val="19"/>
          <w:szCs w:val="19"/>
        </w:rPr>
        <w:t xml:space="preserve">: the current cost to buy or make the item again. It cannot be higher than a </w:t>
      </w:r>
      <w:r>
        <w:rPr>
          <w:u w:val="single"/>
          <w:sz w:val="19"/>
          <w:szCs w:val="19"/>
        </w:rPr>
        <w:t xml:space="preserve">           </w:t>
      </w:r>
      <w:r>
        <w:rPr>
          <w:sz w:val="19"/>
          <w:szCs w:val="19"/>
        </w:rPr>
        <w:t xml:space="preserve"> equal to NRV, and it cannot be lower than a </w:t>
      </w:r>
      <w:r>
        <w:rPr>
          <w:u w:val="single"/>
          <w:sz w:val="19"/>
          <w:szCs w:val="19"/>
        </w:rPr>
        <w:t xml:space="preserve">           </w:t>
      </w:r>
      <w:r>
        <w:rPr>
          <w:sz w:val="19"/>
          <w:szCs w:val="19"/>
        </w:rPr>
        <w:t xml:space="preserve"> equal to NRV minus a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purchase commitment   ·   floor   ·   ceiling   ·   replacement cost   ·   markdown   ·   gross profit method   ·   item-by-item basis</w:t>
      </w:r>
    </w:p>
    <w:p>
      <w:pPr>
        <w:spacing w:before="36" w:after="36"/>
        <w:ind w:left="300"/>
      </w:pPr>
      <w:r>
        <w:rPr>
          <w:sz w:val="19"/>
          <w:szCs w:val="19"/>
        </w:rPr>
        <w:t xml:space="preserve">The </w:t>
      </w:r>
      <w:r>
        <w:rPr>
          <w:u w:val="single"/>
          <w:sz w:val="19"/>
          <w:szCs w:val="19"/>
        </w:rPr>
        <w:t xml:space="preserve">                    </w:t>
      </w:r>
      <w:r>
        <w:rPr>
          <w:sz w:val="19"/>
          <w:szCs w:val="19"/>
        </w:rPr>
        <w:t xml:space="preserve"> is the most conservative. One more rule: if a company has a firm, non-cancellable </w:t>
      </w:r>
      <w:r>
        <w:rPr>
          <w:u w:val="single"/>
          <w:sz w:val="19"/>
          <w:szCs w:val="19"/>
        </w:rPr>
        <w:t xml:space="preserve">                     </w:t>
      </w:r>
      <w:r>
        <w:rPr>
          <w:sz w:val="19"/>
          <w:szCs w:val="19"/>
        </w:rPr>
        <w:t xml:space="preserve"> at a price above the current market, it records the expected loss now, in the current period. Do not compare </w:t>
      </w:r>
      <w:r>
        <w:rPr>
          <w:u w:val="single"/>
          <w:sz w:val="19"/>
          <w:szCs w:val="19"/>
        </w:rPr>
        <w:t xml:space="preserve">                  </w:t>
      </w:r>
      <w:r>
        <w:rPr>
          <w:sz w:val="19"/>
          <w:szCs w:val="19"/>
        </w:rPr>
        <w:t xml:space="preserve"> directly with cost. First limit it by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markup   ·   floor   ·   shrinkage   ·   gross profit method</w:t>
      </w:r>
    </w:p>
    <w:p>
      <w:pPr>
        <w:spacing w:before="36" w:after="36"/>
        <w:ind w:left="300"/>
      </w:pPr>
      <w:r>
        <w:rPr>
          <w:sz w:val="19"/>
          <w:szCs w:val="19"/>
        </w:rPr>
        <w:t xml:space="preserve">For example, a </w:t>
      </w:r>
      <w:r>
        <w:rPr>
          <w:u w:val="single"/>
          <w:sz w:val="19"/>
          <w:szCs w:val="19"/>
        </w:rPr>
        <w:t xml:space="preserve">           </w:t>
      </w:r>
      <w:r>
        <w:rPr>
          <w:sz w:val="19"/>
          <w:szCs w:val="19"/>
        </w:rPr>
        <w:t xml:space="preserve"> of one half on cost is a gross profit rate of one third on sales. Conventional retail: markups IN the ratio, markdowns OUT. Freight-in goes in the cost column only; normal </w:t>
      </w:r>
      <w:r>
        <w:rPr>
          <w:u w:val="single"/>
          <w:sz w:val="19"/>
          <w:szCs w:val="19"/>
        </w:rPr>
        <w:t xml:space="preserve">           </w:t>
      </w:r>
      <w:r>
        <w:rPr>
          <w:sz w:val="19"/>
          <w:szCs w:val="19"/>
        </w:rPr>
        <w:t xml:space="preserve"> is deducted from retail after the ratio.</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5.  </w:t>
      </w:r>
      <w:r>
        <w:rPr>
          <w:sz w:val="19"/>
          <w:szCs w:val="19"/>
        </w:rPr>
        <w:t xml:space="preserve">Which part of this chapter is section 8.1?</w:t>
      </w:r>
    </w:p>
    <w:p>
      <w:pPr>
        <w:spacing w:after="18"/>
        <w:ind w:left="560" w:hanging="260"/>
      </w:pPr>
      <w:r>
        <w:rPr>
          <w:b/>
          <w:bCs/>
          <w:color w:val="8186EF"/>
          <w:sz w:val="18"/>
          <w:szCs w:val="18"/>
        </w:rPr>
        <w:t xml:space="preserve">A. </w:t>
      </w:r>
      <w:r>
        <w:rPr>
          <w:sz w:val="18"/>
          <w:szCs w:val="18"/>
        </w:rPr>
        <w:t xml:space="preserve">Recommending a method</w:t>
      </w:r>
    </w:p>
    <w:p>
      <w:pPr>
        <w:spacing w:after="18"/>
        <w:ind w:left="560" w:hanging="260"/>
      </w:pPr>
      <w:r>
        <w:rPr>
          <w:b/>
          <w:bCs/>
          <w:color w:val="8186EF"/>
          <w:sz w:val="18"/>
          <w:szCs w:val="18"/>
        </w:rPr>
        <w:t xml:space="preserve">B. </w:t>
      </w:r>
      <w:r>
        <w:rPr>
          <w:sz w:val="18"/>
          <w:szCs w:val="18"/>
        </w:rPr>
        <w:t xml:space="preserve">Advantages and disadvantages of the methods</w:t>
      </w:r>
    </w:p>
    <w:p>
      <w:pPr>
        <w:spacing w:after="18"/>
        <w:ind w:left="560" w:hanging="260"/>
      </w:pPr>
      <w:r>
        <w:rPr>
          <w:b/>
          <w:bCs/>
          <w:color w:val="8186EF"/>
          <w:sz w:val="18"/>
          <w:szCs w:val="18"/>
        </w:rPr>
        <w:t xml:space="preserve">C. </w:t>
      </w:r>
      <w:r>
        <w:rPr>
          <w:sz w:val="18"/>
          <w:szCs w:val="18"/>
        </w:rPr>
        <w:t xml:space="preserve">Lower of cost or market</w:t>
      </w:r>
    </w:p>
    <w:p>
      <w:pPr>
        <w:spacing w:after="18"/>
        <w:ind w:left="560" w:hanging="260"/>
      </w:pPr>
      <w:r>
        <w:rPr>
          <w:b/>
          <w:bCs/>
          <w:color w:val="8186EF"/>
          <w:sz w:val="18"/>
          <w:szCs w:val="18"/>
        </w:rPr>
        <w:t xml:space="preserve">D. </w:t>
      </w:r>
      <w:r>
        <w:rPr>
          <w:sz w:val="18"/>
          <w:szCs w:val="18"/>
        </w:rPr>
        <w:t xml:space="preserve">Which test applies?</w:t>
      </w:r>
    </w:p>
    <w:p>
      <w:pPr>
        <w:spacing w:before="40" w:after="16"/>
        <w:ind w:left="300" w:hanging="300"/>
      </w:pPr>
      <w:r>
        <w:rPr>
          <w:b/>
          <w:bCs/>
          <w:color w:val="353A7C"/>
          <w:sz w:val="19"/>
          <w:szCs w:val="19"/>
        </w:rPr>
        <w:t xml:space="preserve">6.  </w:t>
      </w:r>
      <w:r>
        <w:rPr>
          <w:sz w:val="19"/>
          <w:szCs w:val="19"/>
        </w:rPr>
        <w:t xml:space="preserve">Which part of this chapter is section 8.2?</w:t>
      </w:r>
    </w:p>
    <w:p>
      <w:pPr>
        <w:spacing w:after="18"/>
        <w:ind w:left="560" w:hanging="260"/>
      </w:pPr>
      <w:r>
        <w:rPr>
          <w:b/>
          <w:bCs/>
          <w:color w:val="8186EF"/>
          <w:sz w:val="18"/>
          <w:szCs w:val="18"/>
        </w:rPr>
        <w:t xml:space="preserve">A. </w:t>
      </w:r>
      <w:r>
        <w:rPr>
          <w:sz w:val="18"/>
          <w:szCs w:val="18"/>
        </w:rPr>
        <w:t xml:space="preserve">Which test applies?</w:t>
      </w:r>
    </w:p>
    <w:p>
      <w:pPr>
        <w:spacing w:after="18"/>
        <w:ind w:left="560" w:hanging="260"/>
      </w:pPr>
      <w:r>
        <w:rPr>
          <w:b/>
          <w:bCs/>
          <w:color w:val="8186EF"/>
          <w:sz w:val="18"/>
          <w:szCs w:val="18"/>
        </w:rPr>
        <w:t xml:space="preserve">B. </w:t>
      </w:r>
      <w:r>
        <w:rPr>
          <w:sz w:val="18"/>
          <w:szCs w:val="18"/>
        </w:rPr>
        <w:t xml:space="preserve">Recommending a method</w:t>
      </w:r>
    </w:p>
    <w:p>
      <w:pPr>
        <w:spacing w:after="18"/>
        <w:ind w:left="560" w:hanging="260"/>
      </w:pPr>
      <w:r>
        <w:rPr>
          <w:b/>
          <w:bCs/>
          <w:color w:val="8186EF"/>
          <w:sz w:val="18"/>
          <w:szCs w:val="18"/>
        </w:rPr>
        <w:t xml:space="preserve">C. </w:t>
      </w:r>
      <w:r>
        <w:rPr>
          <w:sz w:val="18"/>
          <w:szCs w:val="18"/>
        </w:rPr>
        <w:t xml:space="preserve">Advantages and disadvantages of the methods</w:t>
      </w:r>
    </w:p>
    <w:p>
      <w:pPr>
        <w:spacing w:after="18"/>
        <w:ind w:left="560" w:hanging="260"/>
      </w:pPr>
      <w:r>
        <w:rPr>
          <w:b/>
          <w:bCs/>
          <w:color w:val="8186EF"/>
          <w:sz w:val="18"/>
          <w:szCs w:val="18"/>
        </w:rPr>
        <w:t xml:space="preserve">D. </w:t>
      </w:r>
      <w:r>
        <w:rPr>
          <w:sz w:val="18"/>
          <w:szCs w:val="18"/>
        </w:rPr>
        <w:t xml:space="preserve">Lower of cost or market</w:t>
      </w:r>
    </w:p>
    <w:p>
      <w:pPr>
        <w:spacing w:before="40" w:after="16"/>
        <w:ind w:left="300" w:hanging="300"/>
      </w:pPr>
      <w:r>
        <w:rPr>
          <w:b/>
          <w:bCs/>
          <w:color w:val="353A7C"/>
          <w:sz w:val="19"/>
          <w:szCs w:val="19"/>
        </w:rPr>
        <w:t xml:space="preserve">7.  </w:t>
      </w:r>
      <w:r>
        <w:rPr>
          <w:sz w:val="19"/>
          <w:szCs w:val="19"/>
        </w:rPr>
        <w:t xml:space="preserve">Which part of this chapter is section 8.3?</w:t>
      </w:r>
    </w:p>
    <w:p>
      <w:pPr>
        <w:spacing w:after="18"/>
        <w:ind w:left="560" w:hanging="260"/>
      </w:pPr>
      <w:r>
        <w:rPr>
          <w:b/>
          <w:bCs/>
          <w:color w:val="8186EF"/>
          <w:sz w:val="18"/>
          <w:szCs w:val="18"/>
        </w:rPr>
        <w:t xml:space="preserve">A. </w:t>
      </w:r>
      <w:r>
        <w:rPr>
          <w:sz w:val="18"/>
          <w:szCs w:val="18"/>
        </w:rPr>
        <w:t xml:space="preserve">Lower of cost or market</w:t>
      </w:r>
    </w:p>
    <w:p>
      <w:pPr>
        <w:spacing w:after="18"/>
        <w:ind w:left="560" w:hanging="260"/>
      </w:pPr>
      <w:r>
        <w:rPr>
          <w:b/>
          <w:bCs/>
          <w:color w:val="8186EF"/>
          <w:sz w:val="18"/>
          <w:szCs w:val="18"/>
        </w:rPr>
        <w:t xml:space="preserve">B. </w:t>
      </w:r>
      <w:r>
        <w:rPr>
          <w:sz w:val="18"/>
          <w:szCs w:val="18"/>
        </w:rPr>
        <w:t xml:space="preserve">Recommending a method</w:t>
      </w:r>
    </w:p>
    <w:p>
      <w:pPr>
        <w:spacing w:after="18"/>
        <w:ind w:left="560" w:hanging="260"/>
      </w:pPr>
      <w:r>
        <w:rPr>
          <w:b/>
          <w:bCs/>
          <w:color w:val="8186EF"/>
          <w:sz w:val="18"/>
          <w:szCs w:val="18"/>
        </w:rPr>
        <w:t xml:space="preserve">C. </w:t>
      </w:r>
      <w:r>
        <w:rPr>
          <w:sz w:val="18"/>
          <w:szCs w:val="18"/>
        </w:rPr>
        <w:t xml:space="preserve">The retail inventory method and the gross profit method</w:t>
      </w:r>
    </w:p>
    <w:p>
      <w:pPr>
        <w:spacing w:after="18"/>
        <w:ind w:left="560" w:hanging="260"/>
      </w:pPr>
      <w:r>
        <w:rPr>
          <w:b/>
          <w:bCs/>
          <w:color w:val="8186EF"/>
          <w:sz w:val="18"/>
          <w:szCs w:val="18"/>
        </w:rPr>
        <w:t xml:space="preserve">D. </w:t>
      </w:r>
      <w:r>
        <w:rPr>
          <w:sz w:val="18"/>
          <w:szCs w:val="18"/>
        </w:rPr>
        <w:t xml:space="preserve">Advantages and disadvantages of the methods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8.1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8.4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8.2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8.5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8.3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8.  </w:t>
      </w:r>
      <w:r>
        <w:rPr>
          <w:sz w:val="18"/>
          <w:szCs w:val="18"/>
        </w:rPr>
        <w:t xml:space="preserve">Which test applies?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Lower of cost or market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The retail inventory method and the gross profit method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Advantages and disadvantages of the methods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Recommending a method</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Use the Jebel Ali fire example. What is the estimated inventory at the date of the fire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72,308</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88,000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260,000</w:t>
            </w:r>
          </w:p>
        </w:tc>
      </w:tr>
    </w:tbl>
    <w:p>
      <w:pPr>
        <w:spacing w:before="40" w:after="16"/>
        <w:ind w:left="300" w:hanging="300"/>
      </w:pPr>
      <w:r>
        <w:rPr>
          <w:b/>
          <w:bCs/>
          <w:color w:val="353A7C"/>
          <w:sz w:val="19"/>
          <w:szCs w:val="19"/>
        </w:rPr>
        <w:t xml:space="preserve">14.  </w:t>
      </w:r>
      <w:r>
        <w:rPr>
          <w:sz w:val="19"/>
          <w:szCs w:val="19"/>
        </w:rPr>
        <w:t xml:space="preserve">When prices are rising, which is an advantage of LIFO?</w:t>
      </w:r>
    </w:p>
    <w:p>
      <w:pPr>
        <w:spacing w:after="18"/>
        <w:ind w:left="560" w:hanging="260"/>
      </w:pPr>
      <w:r>
        <w:rPr>
          <w:b/>
          <w:bCs/>
          <w:color w:val="8186EF"/>
          <w:sz w:val="18"/>
          <w:szCs w:val="18"/>
        </w:rPr>
        <w:t xml:space="preserve">A. </w:t>
      </w:r>
      <w:r>
        <w:rPr>
          <w:sz w:val="18"/>
          <w:szCs w:val="18"/>
        </w:rPr>
        <w:t xml:space="preserve">It matches current costs with current revenues.</w:t>
      </w:r>
    </w:p>
    <w:p>
      <w:pPr>
        <w:spacing w:after="18"/>
        <w:ind w:left="560" w:hanging="260"/>
      </w:pPr>
      <w:r>
        <w:rPr>
          <w:b/>
          <w:bCs/>
          <w:color w:val="8186EF"/>
          <w:sz w:val="18"/>
          <w:szCs w:val="18"/>
        </w:rPr>
        <w:t xml:space="preserve">B. </w:t>
      </w:r>
      <w:r>
        <w:rPr>
          <w:sz w:val="18"/>
          <w:szCs w:val="18"/>
        </w:rPr>
        <w:t xml:space="preserve">It shows inventory close to current cost.</w:t>
      </w:r>
    </w:p>
    <w:p>
      <w:pPr>
        <w:spacing w:after="18"/>
        <w:ind w:left="560" w:hanging="260"/>
      </w:pPr>
      <w:r>
        <w:rPr>
          <w:b/>
          <w:bCs/>
          <w:color w:val="8186EF"/>
          <w:sz w:val="18"/>
          <w:szCs w:val="18"/>
        </w:rPr>
        <w:t xml:space="preserve">C. </w:t>
      </w:r>
      <w:r>
        <w:rPr>
          <w:sz w:val="18"/>
          <w:szCs w:val="18"/>
        </w:rPr>
        <w:t xml:space="preserve">It is allowed under IFRS.</w:t>
      </w:r>
    </w:p>
    <w:p>
      <w:pPr>
        <w:spacing w:after="18"/>
        <w:ind w:left="560" w:hanging="260"/>
      </w:pPr>
      <w:r>
        <w:rPr>
          <w:b/>
          <w:bCs/>
          <w:color w:val="8186EF"/>
          <w:sz w:val="18"/>
          <w:szCs w:val="18"/>
        </w:rPr>
        <w:t xml:space="preserve">D. </w:t>
      </w:r>
      <w:r>
        <w:rPr>
          <w:sz w:val="18"/>
          <w:szCs w:val="18"/>
        </w:rPr>
        <w:t xml:space="preserve">It needs the fewest records.</w:t>
      </w:r>
    </w:p>
    <w:p>
      <w:pPr>
        <w:spacing w:before="40" w:after="16"/>
        <w:ind w:left="300" w:hanging="300"/>
      </w:pPr>
      <w:r>
        <w:rPr>
          <w:b/>
          <w:bCs/>
          <w:color w:val="353A7C"/>
          <w:sz w:val="19"/>
          <w:szCs w:val="19"/>
        </w:rPr>
        <w:t xml:space="preserve">15.  </w:t>
      </w:r>
      <w:r>
        <w:rPr>
          <w:sz w:val="19"/>
          <w:szCs w:val="19"/>
        </w:rPr>
        <w:t xml:space="preserve">For large volumes of identical items, the main disadvantage of specific identification is that:</w:t>
      </w:r>
    </w:p>
    <w:p>
      <w:pPr>
        <w:spacing w:after="18"/>
        <w:ind w:left="560" w:hanging="260"/>
      </w:pPr>
      <w:r>
        <w:rPr>
          <w:b/>
          <w:bCs/>
          <w:color w:val="8186EF"/>
          <w:sz w:val="18"/>
          <w:szCs w:val="18"/>
        </w:rPr>
        <w:t xml:space="preserve">A. </w:t>
      </w:r>
      <w:r>
        <w:rPr>
          <w:sz w:val="18"/>
          <w:szCs w:val="18"/>
        </w:rPr>
        <w:t xml:space="preserve">it is not allowed under U.S. GAAP.</w:t>
      </w:r>
    </w:p>
    <w:p>
      <w:pPr>
        <w:spacing w:after="18"/>
        <w:ind w:left="560" w:hanging="260"/>
      </w:pPr>
      <w:r>
        <w:rPr>
          <w:b/>
          <w:bCs/>
          <w:color w:val="8186EF"/>
          <w:sz w:val="18"/>
          <w:szCs w:val="18"/>
        </w:rPr>
        <w:t xml:space="preserve">B. </w:t>
      </w:r>
      <w:r>
        <w:rPr>
          <w:sz w:val="18"/>
          <w:szCs w:val="18"/>
        </w:rPr>
        <w:t xml:space="preserve">it always overstates income.</w:t>
      </w:r>
    </w:p>
    <w:p>
      <w:pPr>
        <w:spacing w:after="18"/>
        <w:ind w:left="560" w:hanging="260"/>
      </w:pPr>
      <w:r>
        <w:rPr>
          <w:b/>
          <w:bCs/>
          <w:color w:val="8186EF"/>
          <w:sz w:val="18"/>
          <w:szCs w:val="18"/>
        </w:rPr>
        <w:t xml:space="preserve">C. </w:t>
      </w:r>
      <w:r>
        <w:rPr>
          <w:sz w:val="18"/>
          <w:szCs w:val="18"/>
        </w:rPr>
        <w:t xml:space="preserve">it ignores the physical flow of goods.</w:t>
      </w:r>
    </w:p>
    <w:p>
      <w:pPr>
        <w:spacing w:after="18"/>
        <w:ind w:left="560" w:hanging="260"/>
      </w:pPr>
      <w:r>
        <w:rPr>
          <w:b/>
          <w:bCs/>
          <w:color w:val="8186EF"/>
          <w:sz w:val="18"/>
          <w:szCs w:val="18"/>
        </w:rPr>
        <w:t xml:space="preserve">D. </w:t>
      </w:r>
      <w:r>
        <w:rPr>
          <w:sz w:val="18"/>
          <w:szCs w:val="18"/>
        </w:rPr>
        <w:t xml:space="preserve">management can choose which units to sell and so change income.</w:t>
      </w:r>
    </w:p>
    <w:p>
      <w:pPr>
        <w:spacing w:before="40" w:after="16"/>
        <w:ind w:left="300" w:hanging="300"/>
      </w:pPr>
      <w:r>
        <w:rPr>
          <w:b/>
          <w:bCs/>
          <w:color w:val="353A7C"/>
          <w:sz w:val="19"/>
          <w:szCs w:val="19"/>
        </w:rPr>
        <w:t xml:space="preserve">16.  </w:t>
      </w:r>
      <w:r>
        <w:rPr>
          <w:sz w:val="19"/>
          <w:szCs w:val="19"/>
        </w:rPr>
        <w:t xml:space="preserve">Cedar Retail S.A.L. reports under IFRS. Prices are rising, and it wants lower taxes. Which recommendation is appropriate?</w:t>
      </w:r>
    </w:p>
    <w:p>
      <w:pPr>
        <w:spacing w:after="18"/>
        <w:ind w:left="560" w:hanging="260"/>
      </w:pPr>
      <w:r>
        <w:rPr>
          <w:b/>
          <w:bCs/>
          <w:color w:val="8186EF"/>
          <w:sz w:val="18"/>
          <w:szCs w:val="18"/>
        </w:rPr>
        <w:t xml:space="preserve">A. </w:t>
      </w:r>
      <w:r>
        <w:rPr>
          <w:sz w:val="18"/>
          <w:szCs w:val="18"/>
        </w:rPr>
        <w:t xml:space="preserve">LIFO, because it lowers taxes when prices rise</w:t>
      </w:r>
    </w:p>
    <w:p>
      <w:pPr>
        <w:spacing w:after="18"/>
        <w:ind w:left="560" w:hanging="260"/>
      </w:pPr>
      <w:r>
        <w:rPr>
          <w:b/>
          <w:bCs/>
          <w:color w:val="8186EF"/>
          <w:sz w:val="18"/>
          <w:szCs w:val="18"/>
        </w:rPr>
        <w:t xml:space="preserve">B. </w:t>
      </w:r>
      <w:r>
        <w:rPr>
          <w:sz w:val="18"/>
          <w:szCs w:val="18"/>
        </w:rPr>
        <w:t xml:space="preserve">FIFO or weighted average, because LIFO is not allowed</w:t>
      </w:r>
    </w:p>
    <w:p>
      <w:pPr>
        <w:spacing w:after="18"/>
        <w:ind w:left="560" w:hanging="260"/>
      </w:pPr>
      <w:r>
        <w:rPr>
          <w:b/>
          <w:bCs/>
          <w:color w:val="8186EF"/>
          <w:sz w:val="18"/>
          <w:szCs w:val="18"/>
        </w:rPr>
        <w:t xml:space="preserve">C. </w:t>
      </w:r>
      <w:r>
        <w:rPr>
          <w:sz w:val="18"/>
          <w:szCs w:val="18"/>
        </w:rPr>
        <w:t xml:space="preserve">Specific identification for all of its items</w:t>
      </w:r>
    </w:p>
    <w:p>
      <w:pPr>
        <w:spacing w:after="18"/>
        <w:ind w:left="560" w:hanging="260"/>
      </w:pPr>
      <w:r>
        <w:rPr>
          <w:b/>
          <w:bCs/>
          <w:color w:val="8186EF"/>
          <w:sz w:val="18"/>
          <w:szCs w:val="18"/>
        </w:rPr>
        <w:t xml:space="preserve">D. </w:t>
      </w:r>
      <w:r>
        <w:rPr>
          <w:sz w:val="18"/>
          <w:szCs w:val="18"/>
        </w:rPr>
        <w:t xml:space="preserve">The LIFO retail method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Orontes measures olive oil using FIFO. Which test applies at year-end?</w:t>
            </w:r>
          </w:p>
          <w:p>
            <w:pPr>
              <w:spacing w:after="16"/>
              <w:ind w:left="500" w:hanging="200"/>
            </w:pPr>
            <w:r>
              <w:rPr>
                <w:b/>
                <w:bCs/>
                <w:color w:val="8186EF"/>
                <w:sz w:val="18"/>
                <w:szCs w:val="18"/>
              </w:rPr>
              <w:t xml:space="preserve">A. </w:t>
            </w:r>
            <w:r>
              <w:rPr>
                <w:sz w:val="18"/>
                <w:szCs w:val="18"/>
              </w:rPr>
              <w:t xml:space="preserve">Lower of cost or market</w:t>
            </w:r>
          </w:p>
          <w:p>
            <w:pPr>
              <w:spacing w:after="16"/>
              <w:ind w:left="500" w:hanging="200"/>
            </w:pPr>
            <w:r>
              <w:rPr>
                <w:b/>
                <w:bCs/>
                <w:color w:val="8186EF"/>
                <w:sz w:val="18"/>
                <w:szCs w:val="18"/>
              </w:rPr>
              <w:t xml:space="preserve">B. </w:t>
            </w:r>
            <w:r>
              <w:rPr>
                <w:sz w:val="18"/>
                <w:szCs w:val="18"/>
              </w:rPr>
              <w:t xml:space="preserve">Replacement cost only</w:t>
            </w:r>
          </w:p>
          <w:p>
            <w:pPr>
              <w:spacing w:after="16"/>
              <w:ind w:left="500" w:hanging="200"/>
            </w:pPr>
            <w:r>
              <w:rPr>
                <w:b/>
                <w:bCs/>
                <w:color w:val="8186EF"/>
                <w:sz w:val="18"/>
                <w:szCs w:val="18"/>
              </w:rPr>
              <w:t xml:space="preserve">C. </w:t>
            </w:r>
            <w:r>
              <w:rPr>
                <w:sz w:val="18"/>
                <w:szCs w:val="18"/>
              </w:rPr>
              <w:t xml:space="preserve">Lower of cost and net realizable value</w:t>
            </w:r>
          </w:p>
          <w:p>
            <w:pPr>
              <w:spacing w:after="16"/>
              <w:ind w:left="500" w:hanging="200"/>
            </w:pPr>
            <w:r>
              <w:rPr>
                <w:b/>
                <w:bCs/>
                <w:color w:val="8186EF"/>
                <w:sz w:val="18"/>
                <w:szCs w:val="18"/>
              </w:rPr>
              <w:t xml:space="preserve">D. </w:t>
            </w:r>
            <w:r>
              <w:rPr>
                <w:sz w:val="18"/>
                <w:szCs w:val="18"/>
              </w:rPr>
              <w:t xml:space="preserve">No test; FIFO inventory stays at cost</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C8-1</w:t>
            </w:r>
          </w:p>
        </w:tc>
        <w:tc>
          <w:tcPr>
            <w:tcW w:type="pct" w:w="2939"/>
            <w:tcMar>
              <w:top w:type="dxa" w:w="50"/>
              <w:left w:type="dxa" w:w="110"/>
              <w:bottom w:type="dxa" w:w="50"/>
              <w:right w:type="dxa" w:w="110"/>
            </w:tcMar>
          </w:tcPr>
          <w:p>
            <w:pPr>
              <w:spacing w:before="26" w:after="26"/>
            </w:pPr>
            <w:r>
              <w:rPr>
                <w:color w:val="232733"/>
                <w:sz w:val="16"/>
                <w:szCs w:val="16"/>
              </w:rPr>
              <w:t xml:space="preserve">Match each product line to the test that applies. (On the exam screen you would drag each line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C8-2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write-down for pomegranate molasses (USD).</w:t>
            </w:r>
          </w:p>
        </w:tc>
      </w:tr>
      <w:tr>
        <w:tc>
          <w:tcPr>
            <w:tcW w:type="pct" w:w="2061"/>
            <w:tcMar>
              <w:top w:type="dxa" w:w="50"/>
              <w:left w:type="dxa" w:w="110"/>
              <w:bottom w:type="dxa" w:w="50"/>
              <w:right w:type="dxa" w:w="110"/>
            </w:tcMar>
          </w:tcPr>
          <w:p>
            <w:pPr>
              <w:spacing w:before="26" w:after="26"/>
            </w:pPr>
            <w:r>
              <w:rPr>
                <w:color w:val="232733"/>
                <w:sz w:val="16"/>
                <w:szCs w:val="16"/>
              </w:rPr>
              <w:t xml:space="preserve">C8-3</w:t>
            </w:r>
          </w:p>
        </w:tc>
        <w:tc>
          <w:tcPr>
            <w:tcW w:type="pct" w:w="2939"/>
            <w:tcMar>
              <w:top w:type="dxa" w:w="50"/>
              <w:left w:type="dxa" w:w="110"/>
              <w:bottom w:type="dxa" w:w="50"/>
              <w:right w:type="dxa" w:w="110"/>
            </w:tcMar>
          </w:tcPr>
          <w:p>
            <w:pPr>
              <w:spacing w:before="26" w:after="26"/>
            </w:pPr>
            <w:r>
              <w:rPr>
                <w:color w:val="232733"/>
                <w:sz w:val="16"/>
                <w:szCs w:val="16"/>
              </w:rPr>
              <w:t xml:space="preserve">Enter the total write-down for all five lines (USD).</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C8-4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total carrying amount of the five lines after the write-downs (USD).</w:t>
            </w:r>
          </w:p>
        </w:tc>
      </w:tr>
      <w:tr>
        <w:tc>
          <w:tcPr>
            <w:tcW w:type="pct" w:w="2061"/>
            <w:tcMar>
              <w:top w:type="dxa" w:w="50"/>
              <w:left w:type="dxa" w:w="110"/>
              <w:bottom w:type="dxa" w:w="50"/>
              <w:right w:type="dxa" w:w="110"/>
            </w:tcMar>
          </w:tcPr>
          <w:p>
            <w:pPr>
              <w:spacing w:before="26" w:after="26"/>
            </w:pPr>
            <w:r>
              <w:rPr>
                <w:color w:val="232733"/>
                <w:sz w:val="16"/>
                <w:szCs w:val="16"/>
              </w:rPr>
              <w:t xml:space="preserve">C8-5</w:t>
            </w:r>
          </w:p>
        </w:tc>
        <w:tc>
          <w:tcPr>
            <w:tcW w:type="pct" w:w="2939"/>
            <w:tcMar>
              <w:top w:type="dxa" w:w="50"/>
              <w:left w:type="dxa" w:w="110"/>
              <w:bottom w:type="dxa" w:w="50"/>
              <w:right w:type="dxa" w:w="110"/>
            </w:tcMar>
          </w:tcPr>
          <w:p>
            <w:pPr>
              <w:spacing w:before="26" w:after="26"/>
            </w:pPr>
            <w:r>
              <w:rPr>
                <w:color w:val="232733"/>
                <w:sz w:val="16"/>
                <w:szCs w:val="16"/>
              </w:rPr>
              <w:t xml:space="preserve">In 2026, the NRV of za'atar mix rises to $13 a unit. Under U.S. GAAP, the 2025 write-down: [select]</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C8-6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If Orontes reported under IFRS, how much of the za'atar write-down would it reverse in 2026 (USD)?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19.  </w:t>
      </w:r>
      <w:r>
        <w:rPr>
          <w:sz w:val="19"/>
          <w:szCs w:val="19"/>
        </w:rPr>
        <w:t xml:space="preserve">Which of these does item C8-1 ask for?</w:t>
      </w:r>
    </w:p>
    <w:p>
      <w:pPr>
        <w:spacing w:after="18"/>
        <w:ind w:left="560" w:hanging="260"/>
      </w:pPr>
      <w:r>
        <w:rPr>
          <w:b/>
          <w:bCs/>
          <w:color w:val="8186EF"/>
          <w:sz w:val="18"/>
          <w:szCs w:val="18"/>
        </w:rPr>
        <w:t xml:space="preserve">A. </w:t>
      </w:r>
      <w:r>
        <w:rPr>
          <w:sz w:val="18"/>
          <w:szCs w:val="18"/>
        </w:rPr>
        <w:t xml:space="preserve">Match each product line to the test that applies. (On the exam screen </w:t>
      </w:r>
    </w:p>
    <w:p>
      <w:pPr>
        <w:spacing w:after="18"/>
        <w:ind w:left="560" w:hanging="260"/>
      </w:pPr>
      <w:r>
        <w:rPr>
          <w:b/>
          <w:bCs/>
          <w:color w:val="8186EF"/>
          <w:sz w:val="18"/>
          <w:szCs w:val="18"/>
        </w:rPr>
        <w:t xml:space="preserve">B. </w:t>
      </w:r>
      <w:r>
        <w:rPr>
          <w:sz w:val="18"/>
          <w:szCs w:val="18"/>
        </w:rPr>
        <w:t xml:space="preserve">Enter the total carrying amount of the five lines after the write-down</w:t>
      </w:r>
    </w:p>
    <w:p>
      <w:pPr>
        <w:spacing w:after="18"/>
        <w:ind w:left="560" w:hanging="260"/>
      </w:pPr>
      <w:r>
        <w:rPr>
          <w:b/>
          <w:bCs/>
          <w:color w:val="8186EF"/>
          <w:sz w:val="18"/>
          <w:szCs w:val="18"/>
        </w:rPr>
        <w:t xml:space="preserve">C. </w:t>
      </w:r>
      <w:r>
        <w:rPr>
          <w:sz w:val="18"/>
          <w:szCs w:val="18"/>
        </w:rPr>
        <w:t xml:space="preserve">If Orontes reported under IFRS, how much of the za'atar write-down wou</w:t>
      </w:r>
    </w:p>
    <w:p>
      <w:pPr>
        <w:spacing w:after="18"/>
        <w:ind w:left="560" w:hanging="260"/>
      </w:pPr>
      <w:r>
        <w:rPr>
          <w:b/>
          <w:bCs/>
          <w:color w:val="8186EF"/>
          <w:sz w:val="18"/>
          <w:szCs w:val="18"/>
        </w:rPr>
        <w:t xml:space="preserve">D. </w:t>
      </w:r>
      <w:r>
        <w:rPr>
          <w:sz w:val="18"/>
          <w:szCs w:val="18"/>
        </w:rPr>
        <w:t xml:space="preserve">In 2026, the NRV of za'atar mix rises to $13 a unit. Under U.S. GAAP, </w:t>
      </w:r>
    </w:p>
    <w:p>
      <w:pPr>
        <w:spacing w:before="40" w:after="16"/>
        <w:ind w:left="300" w:hanging="300"/>
      </w:pPr>
      <w:r>
        <w:rPr>
          <w:b/>
          <w:bCs/>
          <w:color w:val="353A7C"/>
          <w:sz w:val="19"/>
          <w:szCs w:val="19"/>
        </w:rPr>
        <w:t xml:space="preserve">20.  </w:t>
      </w:r>
      <w:r>
        <w:rPr>
          <w:sz w:val="19"/>
          <w:szCs w:val="19"/>
        </w:rPr>
        <w:t xml:space="preserve">Which of these does item C8-2 ask for?</w:t>
      </w:r>
    </w:p>
    <w:p>
      <w:pPr>
        <w:spacing w:after="18"/>
        <w:ind w:left="560" w:hanging="260"/>
      </w:pPr>
      <w:r>
        <w:rPr>
          <w:b/>
          <w:bCs/>
          <w:color w:val="8186EF"/>
          <w:sz w:val="18"/>
          <w:szCs w:val="18"/>
        </w:rPr>
        <w:t xml:space="preserve">A. </w:t>
      </w:r>
      <w:r>
        <w:rPr>
          <w:sz w:val="18"/>
          <w:szCs w:val="18"/>
        </w:rPr>
        <w:t xml:space="preserve">Enter the write-down for pomegranate molasses (USD).</w:t>
      </w:r>
    </w:p>
    <w:p>
      <w:pPr>
        <w:spacing w:after="18"/>
        <w:ind w:left="560" w:hanging="260"/>
      </w:pPr>
      <w:r>
        <w:rPr>
          <w:b/>
          <w:bCs/>
          <w:color w:val="8186EF"/>
          <w:sz w:val="18"/>
          <w:szCs w:val="18"/>
        </w:rPr>
        <w:t xml:space="preserve">B. </w:t>
      </w:r>
      <w:r>
        <w:rPr>
          <w:sz w:val="18"/>
          <w:szCs w:val="18"/>
        </w:rPr>
        <w:t xml:space="preserve">Enter the total write-down for all five lines (USD).</w:t>
      </w:r>
    </w:p>
    <w:p>
      <w:pPr>
        <w:spacing w:after="18"/>
        <w:ind w:left="560" w:hanging="260"/>
      </w:pPr>
      <w:r>
        <w:rPr>
          <w:b/>
          <w:bCs/>
          <w:color w:val="8186EF"/>
          <w:sz w:val="18"/>
          <w:szCs w:val="18"/>
        </w:rPr>
        <w:t xml:space="preserve">C. </w:t>
      </w:r>
      <w:r>
        <w:rPr>
          <w:sz w:val="18"/>
          <w:szCs w:val="18"/>
        </w:rPr>
        <w:t xml:space="preserve">Match each product line to the test that applies. (On the exam screen </w:t>
      </w:r>
    </w:p>
    <w:p>
      <w:pPr>
        <w:spacing w:after="18"/>
        <w:ind w:left="560" w:hanging="260"/>
      </w:pPr>
      <w:r>
        <w:rPr>
          <w:b/>
          <w:bCs/>
          <w:color w:val="8186EF"/>
          <w:sz w:val="18"/>
          <w:szCs w:val="18"/>
        </w:rPr>
        <w:t xml:space="preserve">D. </w:t>
      </w:r>
      <w:r>
        <w:rPr>
          <w:sz w:val="18"/>
          <w:szCs w:val="18"/>
        </w:rPr>
        <w:t xml:space="preserve">Enter the total carrying amount of the five lines after the write-down</w:t>
      </w:r>
    </w:p>
    <w:p>
      <w:pPr>
        <w:spacing w:before="40" w:after="16"/>
        <w:ind w:left="300" w:hanging="300"/>
      </w:pPr>
      <w:r>
        <w:rPr>
          <w:b/>
          <w:bCs/>
          <w:color w:val="353A7C"/>
          <w:sz w:val="19"/>
          <w:szCs w:val="19"/>
        </w:rPr>
        <w:t xml:space="preserve">21.  </w:t>
      </w:r>
      <w:r>
        <w:rPr>
          <w:sz w:val="19"/>
          <w:szCs w:val="19"/>
        </w:rPr>
        <w:t xml:space="preserve">Which of these does item C8-3 ask for?</w:t>
      </w:r>
    </w:p>
    <w:p>
      <w:pPr>
        <w:spacing w:after="18"/>
        <w:ind w:left="560" w:hanging="260"/>
      </w:pPr>
      <w:r>
        <w:rPr>
          <w:b/>
          <w:bCs/>
          <w:color w:val="8186EF"/>
          <w:sz w:val="18"/>
          <w:szCs w:val="18"/>
        </w:rPr>
        <w:t xml:space="preserve">A. </w:t>
      </w:r>
      <w:r>
        <w:rPr>
          <w:sz w:val="18"/>
          <w:szCs w:val="18"/>
        </w:rPr>
        <w:t xml:space="preserve">Enter the write-down for pomegranate molasses (USD).</w:t>
      </w:r>
    </w:p>
    <w:p>
      <w:pPr>
        <w:spacing w:after="18"/>
        <w:ind w:left="560" w:hanging="260"/>
      </w:pPr>
      <w:r>
        <w:rPr>
          <w:b/>
          <w:bCs/>
          <w:color w:val="8186EF"/>
          <w:sz w:val="18"/>
          <w:szCs w:val="18"/>
        </w:rPr>
        <w:t xml:space="preserve">B. </w:t>
      </w:r>
      <w:r>
        <w:rPr>
          <w:sz w:val="18"/>
          <w:szCs w:val="18"/>
        </w:rPr>
        <w:t xml:space="preserve">Match each product line to the test that applies. (On the exam screen </w:t>
      </w:r>
    </w:p>
    <w:p>
      <w:pPr>
        <w:spacing w:after="18"/>
        <w:ind w:left="560" w:hanging="260"/>
      </w:pPr>
      <w:r>
        <w:rPr>
          <w:b/>
          <w:bCs/>
          <w:color w:val="8186EF"/>
          <w:sz w:val="18"/>
          <w:szCs w:val="18"/>
        </w:rPr>
        <w:t xml:space="preserve">C. </w:t>
      </w:r>
      <w:r>
        <w:rPr>
          <w:sz w:val="18"/>
          <w:szCs w:val="18"/>
        </w:rPr>
        <w:t xml:space="preserve">Enter the total carrying amount of the five lines after the write-down</w:t>
      </w:r>
    </w:p>
    <w:p>
      <w:pPr>
        <w:spacing w:after="18"/>
        <w:ind w:left="560" w:hanging="260"/>
      </w:pPr>
      <w:r>
        <w:rPr>
          <w:b/>
          <w:bCs/>
          <w:color w:val="8186EF"/>
          <w:sz w:val="18"/>
          <w:szCs w:val="18"/>
        </w:rPr>
        <w:t xml:space="preserve">D. </w:t>
      </w:r>
      <w:r>
        <w:rPr>
          <w:sz w:val="18"/>
          <w:szCs w:val="18"/>
        </w:rPr>
        <w:t xml:space="preserve">Enter the total write-down for all five lines (USD).</w:t>
      </w:r>
    </w:p>
    <w:p>
      <w:pPr>
        <w:spacing w:before="40" w:after="16"/>
        <w:ind w:left="300" w:hanging="300"/>
      </w:pPr>
      <w:r>
        <w:rPr>
          <w:b/>
          <w:bCs/>
          <w:color w:val="353A7C"/>
          <w:sz w:val="19"/>
          <w:szCs w:val="19"/>
        </w:rPr>
        <w:t xml:space="preserve">22.  </w:t>
      </w:r>
      <w:r>
        <w:rPr>
          <w:sz w:val="19"/>
          <w:szCs w:val="19"/>
        </w:rPr>
        <w:t xml:space="preserve">Which of these does item C8-4 ask for?</w:t>
      </w:r>
    </w:p>
    <w:p>
      <w:pPr>
        <w:spacing w:after="18"/>
        <w:ind w:left="560" w:hanging="260"/>
      </w:pPr>
      <w:r>
        <w:rPr>
          <w:b/>
          <w:bCs/>
          <w:color w:val="8186EF"/>
          <w:sz w:val="18"/>
          <w:szCs w:val="18"/>
        </w:rPr>
        <w:t xml:space="preserve">A. </w:t>
      </w:r>
      <w:r>
        <w:rPr>
          <w:sz w:val="18"/>
          <w:szCs w:val="18"/>
        </w:rPr>
        <w:t xml:space="preserve">Enter the total carrying amount of the five lines after the write-down</w:t>
      </w:r>
    </w:p>
    <w:p>
      <w:pPr>
        <w:spacing w:after="18"/>
        <w:ind w:left="560" w:hanging="260"/>
      </w:pPr>
      <w:r>
        <w:rPr>
          <w:b/>
          <w:bCs/>
          <w:color w:val="8186EF"/>
          <w:sz w:val="18"/>
          <w:szCs w:val="18"/>
        </w:rPr>
        <w:t xml:space="preserve">B. </w:t>
      </w:r>
      <w:r>
        <w:rPr>
          <w:sz w:val="18"/>
          <w:szCs w:val="18"/>
        </w:rPr>
        <w:t xml:space="preserve">In 2026, the NRV of za'atar mix rises to $13 a unit. Under U.S. GAAP, </w:t>
      </w:r>
    </w:p>
    <w:p>
      <w:pPr>
        <w:spacing w:after="18"/>
        <w:ind w:left="560" w:hanging="260"/>
      </w:pPr>
      <w:r>
        <w:rPr>
          <w:b/>
          <w:bCs/>
          <w:color w:val="8186EF"/>
          <w:sz w:val="18"/>
          <w:szCs w:val="18"/>
        </w:rPr>
        <w:t xml:space="preserve">C. </w:t>
      </w:r>
      <w:r>
        <w:rPr>
          <w:sz w:val="18"/>
          <w:szCs w:val="18"/>
        </w:rPr>
        <w:t xml:space="preserve">Match each product line to the test that applies. (On the exam screen </w:t>
      </w:r>
    </w:p>
    <w:p>
      <w:pPr>
        <w:spacing w:after="18"/>
        <w:ind w:left="560" w:hanging="260"/>
      </w:pPr>
      <w:r>
        <w:rPr>
          <w:b/>
          <w:bCs/>
          <w:color w:val="8186EF"/>
          <w:sz w:val="18"/>
          <w:szCs w:val="18"/>
        </w:rPr>
        <w:t xml:space="preserve">D. </w:t>
      </w:r>
      <w:r>
        <w:rPr>
          <w:sz w:val="18"/>
          <w:szCs w:val="18"/>
        </w:rPr>
        <w:t xml:space="preserve">If Orontes reported under IFRS, how much of the za'atar write-down wou</w:t>
      </w:r>
    </w:p>
    <w:p>
      <w:pPr>
        <w:spacing w:before="40" w:after="16"/>
        <w:ind w:left="300" w:hanging="300"/>
      </w:pPr>
      <w:r>
        <w:rPr>
          <w:b/>
          <w:bCs/>
          <w:color w:val="353A7C"/>
          <w:sz w:val="19"/>
          <w:szCs w:val="19"/>
        </w:rPr>
        <w:t xml:space="preserve">23.  </w:t>
      </w:r>
      <w:r>
        <w:rPr>
          <w:sz w:val="19"/>
          <w:szCs w:val="19"/>
        </w:rPr>
        <w:t xml:space="preserve">Which of these does item C8-5 ask for?</w:t>
      </w:r>
    </w:p>
    <w:p>
      <w:pPr>
        <w:spacing w:after="18"/>
        <w:ind w:left="560" w:hanging="260"/>
      </w:pPr>
      <w:r>
        <w:rPr>
          <w:b/>
          <w:bCs/>
          <w:color w:val="8186EF"/>
          <w:sz w:val="18"/>
          <w:szCs w:val="18"/>
        </w:rPr>
        <w:t xml:space="preserve">A. </w:t>
      </w:r>
      <w:r>
        <w:rPr>
          <w:sz w:val="18"/>
          <w:szCs w:val="18"/>
        </w:rPr>
        <w:t xml:space="preserve">If Orontes reported under IFRS, how much of the za'atar write-down wou</w:t>
      </w:r>
    </w:p>
    <w:p>
      <w:pPr>
        <w:spacing w:after="18"/>
        <w:ind w:left="560" w:hanging="260"/>
      </w:pPr>
      <w:r>
        <w:rPr>
          <w:b/>
          <w:bCs/>
          <w:color w:val="8186EF"/>
          <w:sz w:val="18"/>
          <w:szCs w:val="18"/>
        </w:rPr>
        <w:t xml:space="preserve">B. </w:t>
      </w:r>
      <w:r>
        <w:rPr>
          <w:sz w:val="18"/>
          <w:szCs w:val="18"/>
        </w:rPr>
        <w:t xml:space="preserve">In 2026, the NRV of za'atar mix rises to $13 a unit. Under U.S. GAAP, </w:t>
      </w:r>
    </w:p>
    <w:p>
      <w:pPr>
        <w:spacing w:after="18"/>
        <w:ind w:left="560" w:hanging="260"/>
      </w:pPr>
      <w:r>
        <w:rPr>
          <w:b/>
          <w:bCs/>
          <w:color w:val="8186EF"/>
          <w:sz w:val="18"/>
          <w:szCs w:val="18"/>
        </w:rPr>
        <w:t xml:space="preserve">C. </w:t>
      </w:r>
      <w:r>
        <w:rPr>
          <w:sz w:val="18"/>
          <w:szCs w:val="18"/>
        </w:rPr>
        <w:t xml:space="preserve">Match each product line to the test that applies. (On the exam screen </w:t>
      </w:r>
    </w:p>
    <w:p>
      <w:pPr>
        <w:spacing w:after="18"/>
        <w:ind w:left="560" w:hanging="260"/>
      </w:pPr>
      <w:r>
        <w:rPr>
          <w:b/>
          <w:bCs/>
          <w:color w:val="8186EF"/>
          <w:sz w:val="18"/>
          <w:szCs w:val="18"/>
        </w:rPr>
        <w:t xml:space="preserve">D. </w:t>
      </w:r>
      <w:r>
        <w:rPr>
          <w:sz w:val="18"/>
          <w:szCs w:val="18"/>
        </w:rPr>
        <w:t xml:space="preserve">Enter the total carrying amount of the five lines after the write-down</w:t>
      </w:r>
    </w:p>
    <w:p>
      <w:pPr>
        <w:spacing w:before="40" w:after="16"/>
        <w:ind w:left="300" w:hanging="300"/>
      </w:pPr>
      <w:r>
        <w:rPr>
          <w:b/>
          <w:bCs/>
          <w:color w:val="353A7C"/>
          <w:sz w:val="19"/>
          <w:szCs w:val="19"/>
        </w:rPr>
        <w:t xml:space="preserve">24.  </w:t>
      </w:r>
      <w:r>
        <w:rPr>
          <w:sz w:val="19"/>
          <w:szCs w:val="19"/>
        </w:rPr>
        <w:t xml:space="preserve">Which of these does item C8-6 ask for?</w:t>
      </w:r>
    </w:p>
    <w:p>
      <w:pPr>
        <w:spacing w:after="18"/>
        <w:ind w:left="560" w:hanging="260"/>
      </w:pPr>
      <w:r>
        <w:rPr>
          <w:b/>
          <w:bCs/>
          <w:color w:val="8186EF"/>
          <w:sz w:val="18"/>
          <w:szCs w:val="18"/>
        </w:rPr>
        <w:t xml:space="preserve">A. </w:t>
      </w:r>
      <w:r>
        <w:rPr>
          <w:sz w:val="18"/>
          <w:szCs w:val="18"/>
        </w:rPr>
        <w:t xml:space="preserve">If Orontes reported under IFRS, how much of the za'atar write-down wou</w:t>
      </w:r>
    </w:p>
    <w:p>
      <w:pPr>
        <w:spacing w:after="18"/>
        <w:ind w:left="560" w:hanging="260"/>
      </w:pPr>
      <w:r>
        <w:rPr>
          <w:b/>
          <w:bCs/>
          <w:color w:val="8186EF"/>
          <w:sz w:val="18"/>
          <w:szCs w:val="18"/>
        </w:rPr>
        <w:t xml:space="preserve">B. </w:t>
      </w:r>
      <w:r>
        <w:rPr>
          <w:sz w:val="18"/>
          <w:szCs w:val="18"/>
        </w:rPr>
        <w:t xml:space="preserve">Enter the total carrying amount of the five lines after the write-down</w:t>
      </w:r>
    </w:p>
    <w:p>
      <w:pPr>
        <w:spacing w:after="18"/>
        <w:ind w:left="560" w:hanging="260"/>
      </w:pPr>
      <w:r>
        <w:rPr>
          <w:b/>
          <w:bCs/>
          <w:color w:val="8186EF"/>
          <w:sz w:val="18"/>
          <w:szCs w:val="18"/>
        </w:rPr>
        <w:t xml:space="preserve">C. </w:t>
      </w:r>
      <w:r>
        <w:rPr>
          <w:sz w:val="18"/>
          <w:szCs w:val="18"/>
        </w:rPr>
        <w:t xml:space="preserve">In 2026, the NRV of za'atar mix rises to $13 a unit. Under U.S. GAAP, </w:t>
      </w:r>
    </w:p>
    <w:p>
      <w:pPr>
        <w:spacing w:after="18"/>
        <w:ind w:left="560" w:hanging="260"/>
      </w:pPr>
      <w:r>
        <w:rPr>
          <w:b/>
          <w:bCs/>
          <w:color w:val="8186EF"/>
          <w:sz w:val="18"/>
          <w:szCs w:val="18"/>
        </w:rPr>
        <w:t xml:space="preserve">D. </w:t>
      </w:r>
      <w:r>
        <w:rPr>
          <w:sz w:val="18"/>
          <w:szCs w:val="18"/>
        </w:rPr>
        <w:t xml:space="preserve">Match each product line to the test that applies. (On the exam screen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Orontes measures olive oil using FIFO. Which test applies at year-end?</w:t>
      </w:r>
    </w:p>
    <w:p>
      <w:pPr>
        <w:spacing w:after="18"/>
        <w:ind w:left="560" w:hanging="260"/>
      </w:pPr>
      <w:r>
        <w:rPr>
          <w:b/>
          <w:bCs/>
          <w:color w:val="8186EF"/>
          <w:sz w:val="18"/>
          <w:szCs w:val="18"/>
        </w:rPr>
        <w:t xml:space="preserve">A. </w:t>
      </w:r>
      <w:r>
        <w:rPr>
          <w:sz w:val="18"/>
          <w:szCs w:val="18"/>
        </w:rPr>
        <w:t xml:space="preserve">Lower of cost or market</w:t>
      </w:r>
    </w:p>
    <w:p>
      <w:pPr>
        <w:spacing w:after="18"/>
        <w:ind w:left="560" w:hanging="260"/>
      </w:pPr>
      <w:r>
        <w:rPr>
          <w:b/>
          <w:bCs/>
          <w:color w:val="8186EF"/>
          <w:sz w:val="18"/>
          <w:szCs w:val="18"/>
        </w:rPr>
        <w:t xml:space="preserve">B. </w:t>
      </w:r>
      <w:r>
        <w:rPr>
          <w:sz w:val="18"/>
          <w:szCs w:val="18"/>
        </w:rPr>
        <w:t xml:space="preserve">Replacement cost only</w:t>
      </w:r>
    </w:p>
    <w:p>
      <w:pPr>
        <w:spacing w:after="18"/>
        <w:ind w:left="560" w:hanging="260"/>
      </w:pPr>
      <w:r>
        <w:rPr>
          <w:b/>
          <w:bCs/>
          <w:color w:val="8186EF"/>
          <w:sz w:val="18"/>
          <w:szCs w:val="18"/>
        </w:rPr>
        <w:t xml:space="preserve">C. </w:t>
      </w:r>
      <w:r>
        <w:rPr>
          <w:sz w:val="18"/>
          <w:szCs w:val="18"/>
        </w:rPr>
        <w:t xml:space="preserve">Lower of cost and net realizable value</w:t>
      </w:r>
    </w:p>
    <w:p>
      <w:pPr>
        <w:spacing w:after="18"/>
        <w:ind w:left="560" w:hanging="260"/>
      </w:pPr>
      <w:r>
        <w:rPr>
          <w:b/>
          <w:bCs/>
          <w:color w:val="8186EF"/>
          <w:sz w:val="18"/>
          <w:szCs w:val="18"/>
        </w:rPr>
        <w:t xml:space="preserve">D. </w:t>
      </w:r>
      <w:r>
        <w:rPr>
          <w:sz w:val="18"/>
          <w:szCs w:val="18"/>
        </w:rPr>
        <w:t xml:space="preserve">No test; FIFO inventory stays at cost</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olive oil, December 31, 2025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olive oil,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Olive oil cases on hand (FIFO layer from Chapter 7)</w:t>
            </w:r>
          </w:p>
        </w:tc>
        <w:tc>
          <w:tcPr>
            <w:tcW w:type="pct" w:w="2400"/>
            <w:tcMar>
              <w:top w:type="dxa" w:w="50"/>
              <w:left w:type="dxa" w:w="110"/>
              <w:bottom w:type="dxa" w:w="50"/>
              <w:right w:type="dxa" w:w="110"/>
            </w:tcMar>
          </w:tcPr>
          <w:p>
            <w:pPr>
              <w:spacing w:before="26" w:after="26"/>
            </w:pPr>
            <w:r>
              <w:rPr>
                <w:color w:val="232733"/>
                <w:sz w:val="16"/>
                <w:szCs w:val="16"/>
              </w:rPr>
              <w:t xml:space="preserve">2,000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per case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$50</w:t>
            </w:r>
          </w:p>
        </w:tc>
      </w:tr>
      <w:tr>
        <w:tc>
          <w:tcPr>
            <w:tcW w:type="pct" w:w="2600"/>
            <w:tcMar>
              <w:top w:type="dxa" w:w="50"/>
              <w:left w:type="dxa" w:w="110"/>
              <w:bottom w:type="dxa" w:w="50"/>
              <w:right w:type="dxa" w:w="110"/>
            </w:tcMar>
          </w:tcPr>
          <w:p>
            <w:pPr>
              <w:spacing w:before="26" w:after="26"/>
            </w:pPr>
            <w:r>
              <w:rPr>
                <w:color w:val="232733"/>
                <w:sz w:val="16"/>
                <w:szCs w:val="16"/>
              </w:rPr>
              <w:t xml:space="preserve">New estimated selling price per case</w:t>
            </w:r>
          </w:p>
        </w:tc>
        <w:tc>
          <w:tcPr>
            <w:tcW w:type="pct" w:w="2400"/>
            <w:tcMar>
              <w:top w:type="dxa" w:w="50"/>
              <w:left w:type="dxa" w:w="110"/>
              <w:bottom w:type="dxa" w:w="50"/>
              <w:right w:type="dxa" w:w="110"/>
            </w:tcMar>
          </w:tcPr>
          <w:p>
            <w:pPr>
              <w:spacing w:before="26" w:after="26"/>
            </w:pPr>
            <w:r>
              <w:rPr>
                <w:color w:val="232733"/>
                <w:sz w:val="16"/>
                <w:szCs w:val="16"/>
              </w:rPr>
              <w:t xml:space="preserve">$54</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Costs to sell and deliver per case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$6</w:t>
            </w:r>
          </w:p>
        </w:tc>
      </w:tr>
      <w:tr>
        <w:tc>
          <w:tcPr>
            <w:tcW w:type="pct" w:w="2600"/>
            <w:tcMar>
              <w:top w:type="dxa" w:w="50"/>
              <w:left w:type="dxa" w:w="110"/>
              <w:bottom w:type="dxa" w:w="50"/>
              <w:right w:type="dxa" w:w="110"/>
            </w:tcMar>
          </w:tcPr>
          <w:p>
            <w:pPr>
              <w:spacing w:before="26" w:after="26"/>
            </w:pPr>
            <w:r>
              <w:rPr>
                <w:color w:val="232733"/>
                <w:sz w:val="16"/>
                <w:szCs w:val="16"/>
              </w:rPr>
              <w:t xml:space="preserve">NRV per case</w:t>
            </w:r>
          </w:p>
        </w:tc>
        <w:tc>
          <w:tcPr>
            <w:tcW w:type="pct" w:w="2400"/>
            <w:tcMar>
              <w:top w:type="dxa" w:w="50"/>
              <w:left w:type="dxa" w:w="110"/>
              <w:bottom w:type="dxa" w:w="50"/>
              <w:right w:type="dxa" w:w="110"/>
            </w:tcMar>
          </w:tcPr>
          <w:p>
            <w:pPr>
              <w:spacing w:before="26" w:after="26"/>
            </w:pPr>
            <w:r>
              <w:rPr>
                <w:color w:val="232733"/>
                <w:sz w:val="16"/>
                <w:szCs w:val="16"/>
              </w:rPr>
              <w:t xml:space="preserve">$48</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 at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$100,000</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 at LCNRV</w:t>
            </w:r>
          </w:p>
        </w:tc>
        <w:tc>
          <w:tcPr>
            <w:tcW w:type="pct" w:w="2400"/>
            <w:tcMar>
              <w:top w:type="dxa" w:w="50"/>
              <w:left w:type="dxa" w:w="110"/>
              <w:bottom w:type="dxa" w:w="50"/>
              <w:right w:type="dxa" w:w="110"/>
            </w:tcMar>
          </w:tcPr>
          <w:p>
            <w:pPr>
              <w:spacing w:before="26" w:after="26"/>
            </w:pPr>
            <w:r>
              <w:rPr>
                <w:color w:val="232733"/>
                <w:sz w:val="16"/>
                <w:szCs w:val="16"/>
              </w:rPr>
              <w:t xml:space="preserve">$96,000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Write-down (loss in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bl>
    <w:p/>
    <w:p>
      <w:pPr>
        <w:spacing w:before="40" w:after="16"/>
        <w:ind w:left="300" w:hanging="300"/>
      </w:pPr>
      <w:r>
        <w:rPr>
          <w:b/>
          <w:bCs/>
          <w:color w:val="353A7C"/>
          <w:sz w:val="19"/>
          <w:szCs w:val="19"/>
        </w:rPr>
        <w:t xml:space="preserve">26.  </w:t>
      </w:r>
      <w:r>
        <w:rPr>
          <w:sz w:val="19"/>
          <w:szCs w:val="19"/>
        </w:rPr>
        <w:t xml:space="preserve">Use the olive-oil example in the extract. What is the write-down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12,000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96,000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net realizable value (NRV)  ·  lower of cost and net realizable value (LCNRV)  ·  lower of cost or market (LCM)  ·  replacement cost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8.6 · The whole chapter</w:t>
          </w:r>
        </w:p>
      </w:tc>
      <w:tc>
        <w:tcPr>
          <w:tcW w:type="pct" w:w="1400"/>
          <w:tcMar>
            <w:top w:type="dxa" w:w="-30"/>
            <w:left w:type="dxa" w:w="30"/>
            <w:bottom w:type="dxa" w:w="-30"/>
            <w:right w:type="dxa" w:w="30"/>
          </w:tcMar>
        </w:tcPr>
        <w:p>
          <w:pPr>
            <w:jc w:val="right"/>
          </w:pPr>
          <w:r>
            <w:rPr>
              <w:color w:val="6B7280"/>
              <w:sz w:val="16"/>
              <w:szCs w:val="16"/>
            </w:rPr>
            <w:t xml:space="preserve">Handout 8.6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dbd8eea04f48019ef312180da6f30190132c444.png" Type="http://schemas.openxmlformats.org/officeDocument/2006/relationships/image"/><Relationship Id="rId102" Target="media/d8eddcef58bcf59969d4d344cf6e3a18e8b7640a.png" Type="http://schemas.openxmlformats.org/officeDocument/2006/relationships/image"/><Relationship Id="rId103" Target="media/37fe32fef3f582b1286067cc248966212a6d3f89.png" Type="http://schemas.openxmlformats.org/officeDocument/2006/relationships/image"/><Relationship Id="rId104" Target="media/ab0cab5f9b868379be6dd72288276b30c471f677.png" Type="http://schemas.openxmlformats.org/officeDocument/2006/relationships/image"/><Relationship Id="rId105" Target="media/fbcda291701b3f1e05d453b49a5f67d94fb91374.png" Type="http://schemas.openxmlformats.org/officeDocument/2006/relationships/image"/><Relationship Id="rId106" Target="media/5e6560392f66ea9637916c2e06464031bf007088.png" Type="http://schemas.openxmlformats.org/officeDocument/2006/relationships/image"/><Relationship Id="rId107" Target="media/46dab8c121ab9253fa271e50969d16b1e8058e29.png" Type="http://schemas.openxmlformats.org/officeDocument/2006/relationships/image"/><Relationship Id="rId108" Target="media/d655c17d7e6b72fa356b882df25165cd24c33d9f.png" Type="http://schemas.openxmlformats.org/officeDocument/2006/relationships/image"/><Relationship Id="rId109" Target="media/4af157e8a75c4ae654121c8ae625bba7df1b8a64.png" Type="http://schemas.openxmlformats.org/officeDocument/2006/relationships/image"/><Relationship Id="rId110" Target="media/786bd5ee7961d22b5387b607ca6f4789795cda19.png" Type="http://schemas.openxmlformats.org/officeDocument/2006/relationships/image"/><Relationship Id="rId111" Target="media/c9119818ff588639b78e892ca21f0c4d8f691bcf.png" Type="http://schemas.openxmlformats.org/officeDocument/2006/relationships/image"/><Relationship Id="rId112" Target="media/9309ab02ca46d4984faec3a7774e2d0f9460122f.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8</dc:title>
  <dc:subject>Inventory II: Measurement Tests, Retail Estimates and Choosing a Method</dc:subject>
  <cp:category>Student Book</cp:category>
</cp:coreProperties>
</file>