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9.1 · Three categories of debt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equity security · debt security · Trading securities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Trading securities · Held-to-maturity (HTM) securities · Available-for-sale (AFS) securities · debt security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Trading securities · Held-to-maturity (HTM) securities · Available-for-sale (AFS) securities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 debt security gives its holder a right to interest and to repayment, like a bond. An equity security gives an ownership interest, like shares of common stock. This section is about debt securities. Section 9.4 covers equity securities.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“An equity security gives an ownership interest, like shares of common stock.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w:t>
      </w:r>
    </w:p>
    <w:p>
      <w:pPr>
        <w:spacing w:after="18"/>
        <w:ind w:left="300" w:hanging="300"/>
      </w:pPr>
      <w:r>
        <w:rPr>
          <w:b/>
          <w:bCs/>
          <w:color w:val="8186EF"/>
          <w:sz w:val="16"/>
          <w:szCs w:val="16"/>
        </w:rPr>
        <w:t xml:space="preserve">2  </w:t>
      </w:r>
      <w:r>
        <w:rPr>
          <w:sz w:val="16"/>
          <w:szCs w:val="16"/>
        </w:rPr>
        <w:t xml:space="preserve">The book writes: “Trading securities are bought and held mainly to sell in the near term. Held-to-maturity (HTM) securities are securities the company has the positive intent and the ability to hold until they mature. Available-for-sale (AFS) securities are all other debt securities. Decision tree for classifying a debt security as trading, held-to-maturity or available-for-sale.”</w:t>
      </w:r>
    </w:p>
    <w:p>
      <w:pPr>
        <w:spacing w:after="18"/>
        <w:ind w:left="300" w:hanging="300"/>
      </w:pPr>
      <w:r>
        <w:rPr>
          <w:b/>
          <w:bCs/>
          <w:color w:val="8186EF"/>
          <w:sz w:val="16"/>
          <w:szCs w:val="16"/>
        </w:rPr>
        <w:t xml:space="preserve">3  </w:t>
      </w:r>
      <w:r>
        <w:rPr>
          <w:sz w:val="16"/>
          <w:szCs w:val="16"/>
        </w:rPr>
        <w:t xml:space="preserve">The book writes: “Trading securities are bought and held mainly to sell in the near term. Held-to-maturity (HTM) securities are securities the company has the positive intent and the ability to hold until they mature. Available-for-sale (AFS) securities are all other debt securities.”</w:t>
      </w:r>
    </w:p>
    <w:p>
      <w:pPr>
        <w:spacing w:after="18"/>
        <w:ind w:left="300" w:hanging="300"/>
      </w:pPr>
      <w:r>
        <w:rPr>
          <w:b/>
          <w:bCs/>
          <w:color w:val="8186EF"/>
          <w:sz w:val="16"/>
          <w:szCs w:val="16"/>
        </w:rPr>
        <w:t xml:space="preserve">4  </w:t>
      </w:r>
      <w:r>
        <w:rPr>
          <w:sz w:val="16"/>
          <w:szCs w:val="16"/>
        </w:rPr>
        <w:t xml:space="preserve">The book pairs Share of net income with “30% × 400,000 = 120,000”.</w:t>
      </w:r>
    </w:p>
    <w:p>
      <w:pPr>
        <w:spacing w:after="18"/>
        <w:ind w:left="300" w:hanging="300"/>
      </w:pPr>
      <w:r>
        <w:rPr>
          <w:b/>
          <w:bCs/>
          <w:color w:val="8186EF"/>
          <w:sz w:val="16"/>
          <w:szCs w:val="16"/>
        </w:rPr>
        <w:t xml:space="preserve">5  </w:t>
      </w:r>
      <w:r>
        <w:rPr>
          <w:sz w:val="16"/>
          <w:szCs w:val="16"/>
        </w:rPr>
        <w:t xml:space="preserve">The book’s own table gives 30% × 400,000 = 120,000 as the answer of Share of net income.</w:t>
      </w:r>
    </w:p>
    <w:p>
      <w:pPr>
        <w:spacing w:after="18"/>
        <w:ind w:left="300" w:hanging="300"/>
      </w:pPr>
      <w:r>
        <w:rPr>
          <w:b/>
          <w:bCs/>
          <w:color w:val="8186EF"/>
          <w:sz w:val="16"/>
          <w:szCs w:val="16"/>
        </w:rPr>
        <w:t xml:space="preserve">6  </w:t>
      </w:r>
      <w:r>
        <w:rPr>
          <w:sz w:val="16"/>
          <w:szCs w:val="16"/>
        </w:rPr>
        <w:t xml:space="preserve">The book’s own table gives 3,000 as the answer of Extra depreciation.</w:t>
      </w:r>
    </w:p>
    <w:p>
      <w:pPr>
        <w:spacing w:after="18"/>
        <w:ind w:left="300" w:hanging="300"/>
      </w:pPr>
      <w:r>
        <w:rPr>
          <w:b/>
          <w:bCs/>
          <w:color w:val="8186EF"/>
          <w:sz w:val="16"/>
          <w:szCs w:val="16"/>
        </w:rPr>
        <w:t xml:space="preserve">7  </w:t>
      </w:r>
      <w:r>
        <w:rPr>
          <w:sz w:val="16"/>
          <w:szCs w:val="16"/>
        </w:rPr>
        <w:t xml:space="preserve">The book’s own table gives 30% × 100,000 = 30,000 as the answer of Dividends.</w:t>
      </w:r>
    </w:p>
    <w:p>
      <w:pPr>
        <w:spacing w:after="18"/>
        <w:ind w:left="300" w:hanging="300"/>
      </w:pPr>
      <w:r>
        <w:rPr>
          <w:b/>
          <w:bCs/>
          <w:color w:val="8186EF"/>
          <w:sz w:val="16"/>
          <w:szCs w:val="16"/>
        </w:rPr>
        <w:t xml:space="preserve">8  </w:t>
      </w:r>
      <w:r>
        <w:rPr>
          <w:sz w:val="16"/>
          <w:szCs w:val="16"/>
        </w:rPr>
        <w:t xml:space="preserve">The book’s own table pairs Ending balance with “1,287,000 + 120,000 − 3,000 − 30,000 = 1,374,000”.</w:t>
      </w:r>
    </w:p>
    <w:p>
      <w:pPr>
        <w:spacing w:after="18"/>
        <w:ind w:left="300" w:hanging="300"/>
      </w:pPr>
      <w:r>
        <w:rPr>
          <w:b/>
          <w:bCs/>
          <w:color w:val="8186EF"/>
          <w:sz w:val="16"/>
          <w:szCs w:val="16"/>
        </w:rPr>
        <w:t xml:space="preserve">9  </w:t>
      </w:r>
      <w:r>
        <w:rPr>
          <w:sz w:val="16"/>
          <w:szCs w:val="16"/>
        </w:rPr>
        <w:t xml:space="preserve">The book pairs Share of net income with “30% × 400,000 = 120,000”.</w:t>
      </w:r>
    </w:p>
    <w:p>
      <w:pPr>
        <w:spacing w:after="18"/>
        <w:ind w:left="300" w:hanging="300"/>
      </w:pPr>
      <w:r>
        <w:rPr>
          <w:b/>
          <w:bCs/>
          <w:color w:val="8186EF"/>
          <w:sz w:val="16"/>
          <w:szCs w:val="16"/>
        </w:rPr>
        <w:t xml:space="preserve">10  </w:t>
      </w:r>
      <w:r>
        <w:rPr>
          <w:sz w:val="16"/>
          <w:szCs w:val="16"/>
        </w:rPr>
        <w:t xml:space="preserve">The book pairs Extra depreciation with “3,000”, not with “1,287,000 + 120,000 − 3,000 − 30,000 = 1,374,000”.</w:t>
      </w:r>
    </w:p>
    <w:p>
      <w:pPr>
        <w:spacing w:after="18"/>
        <w:ind w:left="300" w:hanging="300"/>
      </w:pPr>
      <w:r>
        <w:rPr>
          <w:b/>
          <w:bCs/>
          <w:color w:val="8186EF"/>
          <w:sz w:val="16"/>
          <w:szCs w:val="16"/>
        </w:rPr>
        <w:t xml:space="preserve">11  </w:t>
      </w:r>
      <w:r>
        <w:rPr>
          <w:sz w:val="16"/>
          <w:szCs w:val="16"/>
        </w:rPr>
        <w:t xml:space="preserve">Both intent and ability are required. B is wrong: A one-year view is not enough; the intent must cover the whole period to maturity. C is wrong: The purchase price does not decide the category.</w:t>
      </w:r>
    </w:p>
    <w:p>
      <w:pPr>
        <w:spacing w:after="18"/>
        <w:ind w:left="300" w:hanging="300"/>
      </w:pPr>
      <w:r>
        <w:rPr>
          <w:b/>
          <w:bCs/>
          <w:color w:val="8186EF"/>
          <w:sz w:val="16"/>
          <w:szCs w:val="16"/>
        </w:rPr>
        <w:t xml:space="preserve">12  </w:t>
      </w:r>
      <w:r>
        <w:rPr>
          <w:sz w:val="16"/>
          <w:szCs w:val="16"/>
        </w:rPr>
        <w:t xml:space="preserve">Selling HTM securities outside the permitted cases calls the company's intent into question. A is wrong: A need for cash is not one of the permitted reasons. B is wrong: A realized gain on sale goes to net income.</w:t>
      </w:r>
    </w:p>
    <w:p>
      <w:pPr>
        <w:spacing w:after="18"/>
        <w:ind w:left="300" w:hanging="300"/>
      </w:pPr>
      <w:r>
        <w:rPr>
          <w:b/>
          <w:bCs/>
          <w:color w:val="8186EF"/>
          <w:sz w:val="16"/>
          <w:szCs w:val="16"/>
        </w:rPr>
        <w:t xml:space="preserve">13  </w:t>
      </w:r>
      <w:r>
        <w:rPr>
          <w:sz w:val="16"/>
          <w:szCs w:val="16"/>
        </w:rPr>
        <w:t xml:space="preserve">Cost minus the premium amortized in 2025. A is wrong: The bond reaches face value only at maturity. B is wrong: This is fair value, not amortized cost.</w:t>
      </w:r>
    </w:p>
    <w:p>
      <w:pPr>
        <w:spacing w:after="18"/>
        <w:ind w:left="300" w:hanging="300"/>
      </w:pPr>
      <w:r>
        <w:rPr>
          <w:b/>
          <w:bCs/>
          <w:color w:val="8186EF"/>
          <w:sz w:val="16"/>
          <w:szCs w:val="16"/>
        </w:rPr>
        <w:t xml:space="preserve">14  </w:t>
      </w:r>
      <w:r>
        <w:rPr>
          <w:sz w:val="16"/>
          <w:szCs w:val="16"/>
        </w:rPr>
        <w:t xml:space="preserve">Fair value minus amortized cost: the loss goes to net income for trading securities. A is wrong: This compares fair value with face, ignoring amortized cost. C is wrong: OCI is for AFS; trading changes go to net income.</w:t>
      </w:r>
    </w:p>
    <w:p>
      <w:pPr>
        <w:spacing w:after="18"/>
        <w:ind w:left="300" w:hanging="300"/>
      </w:pPr>
      <w:r>
        <w:rPr>
          <w:b/>
          <w:bCs/>
          <w:color w:val="8186EF"/>
          <w:sz w:val="16"/>
          <w:szCs w:val="16"/>
        </w:rPr>
        <w:t xml:space="preserve">15  </w:t>
      </w:r>
      <w:r>
        <w:rPr>
          <w:sz w:val="16"/>
          <w:szCs w:val="16"/>
        </w:rPr>
        <w:t xml:space="preserve">Both intent and ability are required. B is wrong: A one-year view is not enough; the intent must cover the whole period to maturity. C is wrong: The purchase price does not decide the category.</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22  </w:t>
      </w:r>
      <w:r>
        <w:rPr>
          <w:sz w:val="16"/>
          <w:szCs w:val="16"/>
        </w:rPr>
        <w:t xml:space="preserve">Sale price minus amortized cost; the accumulated OCI is reclassified. A is wrong: The gain is realized on the sale and goes to net income. C is wrong: This is the 2025 unrealized loss.</w:t>
      </w:r>
    </w:p>
    <w:p>
      <w:pPr>
        <w:spacing w:after="18"/>
        <w:ind w:left="300" w:hanging="300"/>
      </w:pPr>
      <w:r>
        <w:rPr>
          <w:b/>
          <w:bCs/>
          <w:color w:val="8186EF"/>
          <w:sz w:val="16"/>
          <w:szCs w:val="16"/>
        </w:rPr>
        <w:t xml:space="preserve">23  </w:t>
      </w:r>
      <w:r>
        <w:rPr>
          <w:sz w:val="16"/>
          <w:szCs w:val="16"/>
        </w:rPr>
        <w:t xml:space="preserve">HTM securities are not remeasured to fair value. A is wrong: Fair value is only disclosed for HTM. B is wrong: Face value is reached only at maturity.</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9.2 · Measuring debt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unrealized holding gain or loss · bond premium · bond discount</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Equity, no significant influence: Fair value · Net income · —</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bond premium · bond discount · effective-interest 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Equity, no readily determinable fair value: Measurement alternative · Net income (price changes, impairment) · —</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unrealized holding gain or loss · bond premium · bond discount</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Equity method: Cost + share of income − dividends · Not recognized · —</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bond premium · bond discount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Reclassified to net income: Available-for-sale (debt)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 Trading (debt), Held-to-maturity (debt), Equity, no significant influence, Equity, no readily determinable fair value, Equity method</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Figure F09-03 summarizes the measurement of every category. Trading and AFS securities are reported at fair value: the price the company would receive if it sold the security in an orderly transaction. HTM securities are reported at amortized cost. The main difference between trading and AFS is where the unrealized holding gain or loss goes. For trading it g</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Available-for-sale (debt): Fair value · OCI (credit losses: net income) · Reclassified to net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E</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Held-to-maturity (debt): Amortized cost − allowance · Not recognized · —</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17  </w:t>
            </w:r>
            <w:r>
              <w:rPr>
                <w:b/>
                <w:bCs/>
                <w:color w:val="1F7A6A"/>
                <w:sz w:val="16"/>
                <w:szCs w:val="16"/>
              </w:rPr>
              <w:t xml:space="preserve">what the book says</w:t>
            </w:r>
          </w:p>
          <w:p>
            <w:pPr>
              <w:spacing w:after="34"/>
              <w:ind w:left="300"/>
            </w:pPr>
            <w:r>
              <w:rPr>
                <w:sz w:val="17"/>
                <w:szCs w:val="17"/>
              </w:rPr>
              <w:t xml:space="preserve">A bond is bought at a bond premium when its stated interest rate is higher than the market rate, and at a bond discount when it is lower.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main difference between trading and AFS is where the unrealized holding gain or loss goes. For AFS it goes to other comprehensive income (OCI). A bond is bought at a bond premium when its stated interest rate is higher than the market rate, and at a bond discount when it is lower.”</w:t>
      </w:r>
    </w:p>
    <w:p>
      <w:pPr>
        <w:spacing w:after="18"/>
        <w:ind w:left="300" w:hanging="300"/>
      </w:pPr>
      <w:r>
        <w:rPr>
          <w:b/>
          <w:bCs/>
          <w:color w:val="8186EF"/>
          <w:sz w:val="16"/>
          <w:szCs w:val="16"/>
        </w:rPr>
        <w:t xml:space="preserve">2  </w:t>
      </w:r>
      <w:r>
        <w:rPr>
          <w:sz w:val="16"/>
          <w:szCs w:val="16"/>
        </w:rPr>
        <w:t xml:space="preserve">The book writes: “A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w:t>
      </w:r>
    </w:p>
    <w:p>
      <w:pPr>
        <w:spacing w:after="18"/>
        <w:ind w:left="300" w:hanging="300"/>
      </w:pPr>
      <w:r>
        <w:rPr>
          <w:b/>
          <w:bCs/>
          <w:color w:val="8186EF"/>
          <w:sz w:val="16"/>
          <w:szCs w:val="16"/>
        </w:rPr>
        <w:t xml:space="preserve">3  </w:t>
      </w:r>
      <w:r>
        <w:rPr>
          <w:sz w:val="16"/>
          <w:szCs w:val="16"/>
        </w:rPr>
        <w:t xml:space="preserve">The book writes: “HTM securities are reported at amortized cost. The main difference between trading and AFS is where the unrealized holding gain or loss goes. For AFS it goes to other comprehensive income (OCI). A bond is bought at a bond premium when its stated interest rate is higher than the market rate, and at a bond discount when it is lower.”</w:t>
      </w:r>
    </w:p>
    <w:p>
      <w:pPr>
        <w:spacing w:after="18"/>
        <w:ind w:left="300" w:hanging="300"/>
      </w:pPr>
      <w:r>
        <w:rPr>
          <w:b/>
          <w:bCs/>
          <w:color w:val="8186EF"/>
          <w:sz w:val="16"/>
          <w:szCs w:val="16"/>
        </w:rPr>
        <w:t xml:space="preserve">4  </w:t>
      </w:r>
      <w:r>
        <w:rPr>
          <w:sz w:val="16"/>
          <w:szCs w:val="16"/>
        </w:rPr>
        <w:t xml:space="preserve">The book pairs Trading (debt) with “Fair value”.</w:t>
      </w:r>
    </w:p>
    <w:p>
      <w:pPr>
        <w:spacing w:after="18"/>
        <w:ind w:left="300" w:hanging="300"/>
      </w:pPr>
      <w:r>
        <w:rPr>
          <w:b/>
          <w:bCs/>
          <w:color w:val="8186EF"/>
          <w:sz w:val="16"/>
          <w:szCs w:val="16"/>
        </w:rPr>
        <w:t xml:space="preserve">5  </w:t>
      </w:r>
      <w:r>
        <w:rPr>
          <w:sz w:val="16"/>
          <w:szCs w:val="16"/>
        </w:rPr>
        <w:t xml:space="preserve">The book’s own table gives Fair value as the balance sheet amount of Trading (debt).</w:t>
      </w:r>
    </w:p>
    <w:p>
      <w:pPr>
        <w:spacing w:after="18"/>
        <w:ind w:left="300" w:hanging="300"/>
      </w:pPr>
      <w:r>
        <w:rPr>
          <w:b/>
          <w:bCs/>
          <w:color w:val="8186EF"/>
          <w:sz w:val="16"/>
          <w:szCs w:val="16"/>
        </w:rPr>
        <w:t xml:space="preserve">6  </w:t>
      </w:r>
      <w:r>
        <w:rPr>
          <w:sz w:val="16"/>
          <w:szCs w:val="16"/>
        </w:rPr>
        <w:t xml:space="preserve">The book’s own table gives Fair value as the balance sheet amount of Available-for-sale (debt).</w:t>
      </w:r>
    </w:p>
    <w:p>
      <w:pPr>
        <w:spacing w:after="18"/>
        <w:ind w:left="300" w:hanging="300"/>
      </w:pPr>
      <w:r>
        <w:rPr>
          <w:b/>
          <w:bCs/>
          <w:color w:val="8186EF"/>
          <w:sz w:val="16"/>
          <w:szCs w:val="16"/>
        </w:rPr>
        <w:t xml:space="preserve">7  </w:t>
      </w:r>
      <w:r>
        <w:rPr>
          <w:sz w:val="16"/>
          <w:szCs w:val="16"/>
        </w:rPr>
        <w:t xml:space="preserve">The book’s own table gives Amortized cost − allowance as the balance sheet amount of Held-to-maturity (debt).</w:t>
      </w:r>
    </w:p>
    <w:p>
      <w:pPr>
        <w:spacing w:after="18"/>
        <w:ind w:left="300" w:hanging="300"/>
      </w:pPr>
      <w:r>
        <w:rPr>
          <w:b/>
          <w:bCs/>
          <w:color w:val="8186EF"/>
          <w:sz w:val="16"/>
          <w:szCs w:val="16"/>
        </w:rPr>
        <w:t xml:space="preserve">8  </w:t>
      </w:r>
      <w:r>
        <w:rPr>
          <w:sz w:val="16"/>
          <w:szCs w:val="16"/>
        </w:rPr>
        <w:t xml:space="preserve">The book’s own table gives Fair value as the balance sheet amount of Equity, no significant influence.</w:t>
      </w:r>
    </w:p>
    <w:p>
      <w:pPr>
        <w:spacing w:after="18"/>
        <w:ind w:left="300" w:hanging="300"/>
      </w:pPr>
      <w:r>
        <w:rPr>
          <w:b/>
          <w:bCs/>
          <w:color w:val="8186EF"/>
          <w:sz w:val="16"/>
          <w:szCs w:val="16"/>
        </w:rPr>
        <w:t xml:space="preserve">9  </w:t>
      </w:r>
      <w:r>
        <w:rPr>
          <w:sz w:val="16"/>
          <w:szCs w:val="16"/>
        </w:rPr>
        <w:t xml:space="preserve">The book pairs Available-for-sale (debt) with “Reclassified to net income”, not with “—”.</w:t>
      </w:r>
    </w:p>
    <w:p>
      <w:pPr>
        <w:spacing w:after="18"/>
        <w:ind w:left="300" w:hanging="300"/>
      </w:pPr>
      <w:r>
        <w:rPr>
          <w:b/>
          <w:bCs/>
          <w:color w:val="8186EF"/>
          <w:sz w:val="16"/>
          <w:szCs w:val="16"/>
        </w:rPr>
        <w:t xml:space="preserve">18  </w:t>
      </w:r>
      <w:r>
        <w:rPr>
          <w:sz w:val="16"/>
          <w:szCs w:val="16"/>
        </w:rPr>
        <w:t xml:space="preserve">The book gives — as the on sale, oci is of Trading (debt).</w:t>
      </w:r>
    </w:p>
    <w:p>
      <w:pPr>
        <w:spacing w:after="18"/>
        <w:ind w:left="300" w:hanging="300"/>
      </w:pPr>
      <w:r>
        <w:rPr>
          <w:b/>
          <w:bCs/>
          <w:color w:val="8186EF"/>
          <w:sz w:val="16"/>
          <w:szCs w:val="16"/>
        </w:rPr>
        <w:t xml:space="preserve">19  </w:t>
      </w:r>
      <w:r>
        <w:rPr>
          <w:sz w:val="16"/>
          <w:szCs w:val="16"/>
        </w:rPr>
        <w:t xml:space="preserve">HTM follows CECL; AFS uses an allowance capped by the fair-value floor. B is wrong: AFS has its own model with the fair-value floor. C is wrong: Expected losses are recorded before any default.</w:t>
      </w:r>
    </w:p>
    <w:p>
      <w:pPr>
        <w:spacing w:after="18"/>
        <w:ind w:left="300" w:hanging="300"/>
      </w:pPr>
      <w:r>
        <w:rPr>
          <w:b/>
          <w:bCs/>
          <w:color w:val="8186EF"/>
          <w:sz w:val="16"/>
          <w:szCs w:val="16"/>
        </w:rPr>
        <w:t xml:space="preserve">20  </w:t>
      </w:r>
      <w:r>
        <w:rPr>
          <w:sz w:val="16"/>
          <w:szCs w:val="16"/>
        </w:rPr>
        <w:t xml:space="preserve">Unrealized gain plus dividend income; both go to net income. A is wrong: Both amounts are income for shares without influence. B is wrong: The unrealized gain also goes to net income.</w:t>
      </w:r>
    </w:p>
    <w:p>
      <w:pPr>
        <w:spacing w:after="18"/>
        <w:ind w:left="300" w:hanging="300"/>
      </w:pPr>
      <w:r>
        <w:rPr>
          <w:b/>
          <w:bCs/>
          <w:color w:val="8186EF"/>
          <w:sz w:val="16"/>
          <w:szCs w:val="16"/>
        </w:rPr>
        <w:t xml:space="preserve">21  </w:t>
      </w:r>
      <w:r>
        <w:rPr>
          <w:sz w:val="16"/>
          <w:szCs w:val="16"/>
        </w:rPr>
        <w:t xml:space="preserve">This is the measurement alternative in ASC 321. A is wrong: AFS no longer exists for shares. C is wrong: Shares have no maturity.</w:t>
      </w:r>
    </w:p>
    <w:p>
      <w:pPr>
        <w:spacing w:after="18"/>
        <w:ind w:left="300" w:hanging="300"/>
      </w:pPr>
      <w:r>
        <w:rPr>
          <w:b/>
          <w:bCs/>
          <w:color w:val="8186EF"/>
          <w:sz w:val="16"/>
          <w:szCs w:val="16"/>
        </w:rPr>
        <w:t xml:space="preserve">22  </w:t>
      </w:r>
      <w:r>
        <w:rPr>
          <w:sz w:val="16"/>
          <w:szCs w:val="16"/>
        </w:rPr>
        <w:t xml:space="preserve">Board seats and policy participation show significant influence, even below the usual presumption. B is wrong: The evidence of influence overrides the percentage. C is wrong: Consolidation needs control.</w:t>
      </w:r>
    </w:p>
    <w:p>
      <w:pPr>
        <w:spacing w:after="18"/>
        <w:ind w:left="300" w:hanging="300"/>
      </w:pPr>
      <w:r>
        <w:rPr>
          <w:b/>
          <w:bCs/>
          <w:color w:val="8186EF"/>
          <w:sz w:val="16"/>
          <w:szCs w:val="16"/>
        </w:rPr>
        <w:t xml:space="preserve">23  </w:t>
      </w:r>
      <w:r>
        <w:rPr>
          <w:sz w:val="16"/>
          <w:szCs w:val="16"/>
        </w:rPr>
        <w:t xml:space="preserve">HTM follows CECL; AFS uses an allowance capped by the fair-value floor. B is wrong: AFS has its own model with the fair-value floor. C is wrong: Expected losses are recorded before any default.</w:t>
      </w:r>
    </w:p>
    <w:p>
      <w:pPr>
        <w:spacing w:after="18"/>
        <w:ind w:left="300" w:hanging="300"/>
      </w:pPr>
      <w:r>
        <w:rPr>
          <w:b/>
          <w:bCs/>
          <w:color w:val="8186EF"/>
          <w:sz w:val="16"/>
          <w:szCs w:val="16"/>
        </w:rPr>
        <w:t xml:space="preserve">24  </w:t>
      </w:r>
      <w:r>
        <w:rPr>
          <w:sz w:val="16"/>
          <w:szCs w:val="16"/>
        </w:rPr>
        <w:t xml:space="preserve">CMA questions use exact terms, and one word can change the answer.</w:t>
      </w:r>
    </w:p>
    <w:p>
      <w:pPr>
        <w:spacing w:after="18"/>
        <w:ind w:left="300" w:hanging="300"/>
      </w:pPr>
      <w:r>
        <w:rPr>
          <w:b/>
          <w:bCs/>
          <w:color w:val="8186EF"/>
          <w:sz w:val="16"/>
          <w:szCs w:val="16"/>
        </w:rPr>
        <w:t xml:space="preserve">30  </w:t>
      </w:r>
      <w:r>
        <w:rPr>
          <w:sz w:val="16"/>
          <w:szCs w:val="16"/>
        </w:rPr>
        <w:t xml:space="preserve">The book’s own table gives 5,136 as the trading of Interest revenue in net income (effective interest).</w:t>
      </w:r>
    </w:p>
    <w:p>
      <w:pPr>
        <w:spacing w:after="18"/>
        <w:ind w:left="300" w:hanging="300"/>
      </w:pPr>
      <w:r>
        <w:rPr>
          <w:b/>
          <w:bCs/>
          <w:color w:val="8186EF"/>
          <w:sz w:val="16"/>
          <w:szCs w:val="16"/>
        </w:rPr>
        <w:t xml:space="preserve">31  </w:t>
      </w:r>
      <w:r>
        <w:rPr>
          <w:sz w:val="16"/>
          <w:szCs w:val="16"/>
        </w:rPr>
        <w:t xml:space="preserve">The book’s own table gives 101,859 as the trading of Amortized cost at Dec 31, 2025.</w:t>
      </w:r>
    </w:p>
    <w:p>
      <w:pPr>
        <w:spacing w:after="18"/>
        <w:ind w:left="300" w:hanging="300"/>
      </w:pPr>
      <w:r>
        <w:rPr>
          <w:b/>
          <w:bCs/>
          <w:color w:val="8186EF"/>
          <w:sz w:val="16"/>
          <w:szCs w:val="16"/>
        </w:rPr>
        <w:t xml:space="preserve">32  </w:t>
      </w:r>
      <w:r>
        <w:rPr>
          <w:sz w:val="16"/>
          <w:szCs w:val="16"/>
        </w:rPr>
        <w:t xml:space="preserve">The book’s own table gives 101,000 as the trading of Balance sheet amount at Dec 31, 2025.</w:t>
      </w:r>
    </w:p>
    <w:p>
      <w:pPr>
        <w:spacing w:after="18"/>
        <w:ind w:left="300" w:hanging="300"/>
      </w:pPr>
      <w:r>
        <w:rPr>
          <w:b/>
          <w:bCs/>
          <w:color w:val="8186EF"/>
          <w:sz w:val="16"/>
          <w:szCs w:val="16"/>
        </w:rPr>
        <w:t xml:space="preserve">33  </w:t>
      </w:r>
      <w:r>
        <w:rPr>
          <w:sz w:val="16"/>
          <w:szCs w:val="16"/>
        </w:rPr>
        <w:t xml:space="preserve">Cost + share of income − extra depreciation − dividends. B is wrong: This forgets the extra depreciation. C is wrong: This does not deduct the dividends received.</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9.3 · Credit losses on debt securities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securities · amortized · receivables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Otherwise · separates · allowance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allowance · amortized · fair-value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HTM securities are measured at amortized cost, so they follow CECL, like the receivables in Chapter 6: the company records an allowance for lifetime expected credit losses from day one. For very safe bonds, such as U.S. Treasury bonds, the expected loss can be zero.</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“HTM securities are measured at amortized cost, so they follow CECL, like the receivables in Chapter 6: the company records an allowance for lifetime expected credit losses from day one. Treasury bonds, the expected loss can be zero. AFS securities follow a different model.”</w:t>
      </w:r>
    </w:p>
    <w:p>
      <w:pPr>
        <w:spacing w:after="18"/>
        <w:ind w:left="300" w:hanging="300"/>
      </w:pPr>
      <w:r>
        <w:rPr>
          <w:b/>
          <w:bCs/>
          <w:color w:val="8186EF"/>
          <w:sz w:val="16"/>
          <w:szCs w:val="16"/>
        </w:rPr>
        <w:t xml:space="preserve">2  </w:t>
      </w:r>
      <w:r>
        <w:rPr>
          <w:sz w:val="16"/>
          <w:szCs w:val="16"/>
        </w:rPr>
        <w:t xml:space="preserve">The book writes: “If the company intends to sell it, or will more likely than not have to sell it before it recovers, it writes the security down to fair value through net income. Otherwise it separates the decline into two parts. The credit part is recorded in an allowance through net income.”</w:t>
      </w:r>
    </w:p>
    <w:p>
      <w:pPr>
        <w:spacing w:after="18"/>
        <w:ind w:left="300" w:hanging="300"/>
      </w:pPr>
      <w:r>
        <w:rPr>
          <w:b/>
          <w:bCs/>
          <w:color w:val="8186EF"/>
          <w:sz w:val="16"/>
          <w:szCs w:val="16"/>
        </w:rPr>
        <w:t xml:space="preserve">3  </w:t>
      </w:r>
      <w:r>
        <w:rPr>
          <w:sz w:val="16"/>
          <w:szCs w:val="16"/>
        </w:rPr>
        <w:t xml:space="preserve">The book writes: “AFS allowance ≤ amortized cost − fair value. If the company intends to sell, there is no allowance: write the bond down to fair value. SC9-5 Use Case B of the fair-value floor example.”</w:t>
      </w:r>
    </w:p>
    <w:p>
      <w:pPr>
        <w:spacing w:after="18"/>
        <w:ind w:left="300" w:hanging="300"/>
      </w:pPr>
      <w:r>
        <w:rPr>
          <w:b/>
          <w:bCs/>
          <w:color w:val="8186EF"/>
          <w:sz w:val="16"/>
          <w:szCs w:val="16"/>
        </w:rPr>
        <w:t xml:space="preserve">4  </w:t>
      </w:r>
      <w:r>
        <w:rPr>
          <w:sz w:val="16"/>
          <w:szCs w:val="16"/>
        </w:rPr>
        <w:t xml:space="preserve">The book pairs A with “Trading”.</w:t>
      </w:r>
    </w:p>
    <w:p>
      <w:pPr>
        <w:spacing w:after="18"/>
        <w:ind w:left="300" w:hanging="300"/>
      </w:pPr>
      <w:r>
        <w:rPr>
          <w:b/>
          <w:bCs/>
          <w:color w:val="8186EF"/>
          <w:sz w:val="16"/>
          <w:szCs w:val="16"/>
        </w:rPr>
        <w:t xml:space="preserve">5  </w:t>
      </w:r>
      <w:r>
        <w:rPr>
          <w:sz w:val="16"/>
          <w:szCs w:val="16"/>
        </w:rPr>
        <w:t xml:space="preserve">The book’s own table gives Trading as the category of A.</w:t>
      </w:r>
    </w:p>
    <w:p>
      <w:pPr>
        <w:spacing w:after="18"/>
        <w:ind w:left="300" w:hanging="300"/>
      </w:pPr>
      <w:r>
        <w:rPr>
          <w:b/>
          <w:bCs/>
          <w:color w:val="8186EF"/>
          <w:sz w:val="16"/>
          <w:szCs w:val="16"/>
        </w:rPr>
        <w:t xml:space="preserve">6  </w:t>
      </w:r>
      <w:r>
        <w:rPr>
          <w:sz w:val="16"/>
          <w:szCs w:val="16"/>
        </w:rPr>
        <w:t xml:space="preserve">The book’s own table gives Held-to-maturity as the category of B.</w:t>
      </w:r>
    </w:p>
    <w:p>
      <w:pPr>
        <w:spacing w:after="18"/>
        <w:ind w:left="300" w:hanging="300"/>
      </w:pPr>
      <w:r>
        <w:rPr>
          <w:b/>
          <w:bCs/>
          <w:color w:val="8186EF"/>
          <w:sz w:val="16"/>
          <w:szCs w:val="16"/>
        </w:rPr>
        <w:t xml:space="preserve">7  </w:t>
      </w:r>
      <w:r>
        <w:rPr>
          <w:sz w:val="16"/>
          <w:szCs w:val="16"/>
        </w:rPr>
        <w:t xml:space="preserve">The book’s own table gives Available-for-sale as the category of C.</w:t>
      </w:r>
    </w:p>
    <w:p>
      <w:pPr>
        <w:spacing w:after="18"/>
        <w:ind w:left="300" w:hanging="300"/>
      </w:pPr>
      <w:r>
        <w:rPr>
          <w:b/>
          <w:bCs/>
          <w:color w:val="8186EF"/>
          <w:sz w:val="16"/>
          <w:szCs w:val="16"/>
        </w:rPr>
        <w:t xml:space="preserve">8  </w:t>
      </w:r>
      <w:r>
        <w:rPr>
          <w:sz w:val="16"/>
          <w:szCs w:val="16"/>
        </w:rPr>
        <w:t xml:space="preserve">The book’s own table gives Equity: fair value through net income as the category of D.</w:t>
      </w:r>
    </w:p>
    <w:p>
      <w:pPr>
        <w:spacing w:after="18"/>
        <w:ind w:left="300" w:hanging="300"/>
      </w:pPr>
      <w:r>
        <w:rPr>
          <w:b/>
          <w:bCs/>
          <w:color w:val="8186EF"/>
          <w:sz w:val="16"/>
          <w:szCs w:val="16"/>
        </w:rPr>
        <w:t xml:space="preserve">9  </w:t>
      </w:r>
      <w:r>
        <w:rPr>
          <w:sz w:val="16"/>
          <w:szCs w:val="16"/>
        </w:rPr>
        <w:t xml:space="preserve">The book pairs A with “Trading”.</w:t>
      </w:r>
    </w:p>
    <w:p>
      <w:pPr>
        <w:spacing w:after="18"/>
        <w:ind w:left="300" w:hanging="300"/>
      </w:pPr>
      <w:r>
        <w:rPr>
          <w:b/>
          <w:bCs/>
          <w:color w:val="8186EF"/>
          <w:sz w:val="16"/>
          <w:szCs w:val="16"/>
        </w:rPr>
        <w:t xml:space="preserve">10  </w:t>
      </w:r>
      <w:r>
        <w:rPr>
          <w:sz w:val="16"/>
          <w:szCs w:val="16"/>
        </w:rPr>
        <w:t xml:space="preserve">The book pairs B with “Held-to-maturity”, not with “Equity: fair value through net income”.</w:t>
      </w:r>
    </w:p>
    <w:p>
      <w:pPr>
        <w:spacing w:after="18"/>
        <w:ind w:left="300" w:hanging="300"/>
      </w:pPr>
      <w:r>
        <w:rPr>
          <w:b/>
          <w:bCs/>
          <w:color w:val="8186EF"/>
          <w:sz w:val="16"/>
          <w:szCs w:val="16"/>
        </w:rPr>
        <w:t xml:space="preserve">11  </w:t>
      </w:r>
      <w:r>
        <w:rPr>
          <w:sz w:val="16"/>
          <w:szCs w:val="16"/>
        </w:rPr>
        <w:t xml:space="preserve">Since ASU 2016-07 the change is applied prospectively. A is wrong: Retroactive restatement was removed by ASU 2016-07. B is wrong: It starts on the date influence is obtained.</w:t>
      </w:r>
    </w:p>
    <w:p>
      <w:pPr>
        <w:spacing w:after="18"/>
        <w:ind w:left="300" w:hanging="300"/>
      </w:pPr>
      <w:r>
        <w:rPr>
          <w:b/>
          <w:bCs/>
          <w:color w:val="8186EF"/>
          <w:sz w:val="16"/>
          <w:szCs w:val="16"/>
        </w:rPr>
        <w:t xml:space="preserve">12  </w:t>
      </w:r>
      <w:r>
        <w:rPr>
          <w:sz w:val="16"/>
          <w:szCs w:val="16"/>
        </w:rPr>
        <w:t xml:space="preserve">IFRS 9 allows the FVOCI election for shares; U.S. GAAP puts all changes on shares in net income. A is wrong: Both frameworks measure trading debt at fair value through income. C is wrong: Both frameworks use the equity method.</w:t>
      </w:r>
    </w:p>
    <w:p>
      <w:pPr>
        <w:spacing w:after="18"/>
        <w:ind w:left="300" w:hanging="300"/>
      </w:pPr>
      <w:r>
        <w:rPr>
          <w:b/>
          <w:bCs/>
          <w:color w:val="8186EF"/>
          <w:sz w:val="16"/>
          <w:szCs w:val="16"/>
        </w:rPr>
        <w:t xml:space="preserve">13  </w:t>
      </w:r>
      <w:r>
        <w:rPr>
          <w:sz w:val="16"/>
          <w:szCs w:val="16"/>
        </w:rPr>
        <w:t xml:space="preserve">Revenue is recognized as earned, measured by the effective-interest method, not by the cash received. A is wrong: Under the cash basis, revenue would equal the cash received. B is wrong: That is a method for bad debts.</w:t>
      </w:r>
    </w:p>
    <w:p>
      <w:pPr>
        <w:spacing w:after="18"/>
        <w:ind w:left="300" w:hanging="300"/>
      </w:pPr>
      <w:r>
        <w:rPr>
          <w:b/>
          <w:bCs/>
          <w:color w:val="8186EF"/>
          <w:sz w:val="16"/>
          <w:szCs w:val="16"/>
        </w:rPr>
        <w:t xml:space="preserve">14  </w:t>
      </w:r>
      <w:r>
        <w:rPr>
          <w:sz w:val="16"/>
          <w:szCs w:val="16"/>
        </w:rPr>
        <w:t xml:space="preserve">HTM securities are measured at amortized cost, like receivables. B is wrong: Trading securities are at fair value through net income; no allowance is needed. C is wrong: AFS has a separate model with the fair-value floor.</w:t>
      </w:r>
    </w:p>
    <w:p>
      <w:pPr>
        <w:spacing w:after="18"/>
        <w:ind w:left="300" w:hanging="300"/>
      </w:pPr>
      <w:r>
        <w:rPr>
          <w:b/>
          <w:bCs/>
          <w:color w:val="8186EF"/>
          <w:sz w:val="16"/>
          <w:szCs w:val="16"/>
        </w:rPr>
        <w:t xml:space="preserve">15  </w:t>
      </w:r>
      <w:r>
        <w:rPr>
          <w:sz w:val="16"/>
          <w:szCs w:val="16"/>
        </w:rPr>
        <w:t xml:space="preserve">Since ASU 2016-07 the change is applied prospectively. A is wrong: Retroactive restatement was removed by ASU 2016-07. B is wrong: It starts on the date influence is obtained.</w:t>
      </w:r>
    </w:p>
    <w:p>
      <w:pPr>
        <w:spacing w:after="18"/>
        <w:ind w:left="300" w:hanging="300"/>
      </w:pPr>
      <w:r>
        <w:rPr>
          <w:b/>
          <w:bCs/>
          <w:color w:val="8186EF"/>
          <w:sz w:val="16"/>
          <w:szCs w:val="16"/>
        </w:rPr>
        <w:t xml:space="preserve">16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exam marks the term, so the English word is the answer.</w:t>
      </w:r>
    </w:p>
    <w:p>
      <w:pPr>
        <w:spacing w:after="18"/>
        <w:ind w:left="300" w:hanging="300"/>
      </w:pPr>
      <w:r>
        <w:rPr>
          <w:b/>
          <w:bCs/>
          <w:color w:val="8186EF"/>
          <w:sz w:val="16"/>
          <w:szCs w:val="16"/>
        </w:rPr>
        <w:t xml:space="preserve">22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9.4 · Equity securities and the equity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fair value · significant influence · investee · equity method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significant influence · equity method · fair value option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Equity method · investee · basis difference</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significant influence · equity method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For shares, the key question is how much influence the investor has over the investee, the company whose shares it holds. Figure F09-06 shows the three levels.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And when an investor first gains significant influence, it starts the equity method from that date; it does not restate prior years.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“Shares with a readily determinable fair value are measured at fair value, and all changes go to net income. There is no AFS category and no OCI option for shares. An investor with significant influence can take part in the investee's financial and operating decisions. With significant influence, the investor uses the equity method.”</w:t>
      </w:r>
    </w:p>
    <w:p>
      <w:pPr>
        <w:spacing w:after="18"/>
        <w:ind w:left="300" w:hanging="300"/>
      </w:pPr>
      <w:r>
        <w:rPr>
          <w:b/>
          <w:bCs/>
          <w:color w:val="8186EF"/>
          <w:sz w:val="16"/>
          <w:szCs w:val="16"/>
        </w:rPr>
        <w:t xml:space="preserve">2  </w:t>
      </w:r>
      <w:r>
        <w:rPr>
          <w:sz w:val="16"/>
          <w:szCs w:val="16"/>
        </w:rPr>
        <w:t xml:space="preserve">The book writes: “And when an investor first gains significant influence, it starts the equity method from that date; it does not restate prior years. An investor may also elect the fair value option for an equity-method investment.”</w:t>
      </w:r>
    </w:p>
    <w:p>
      <w:pPr>
        <w:spacing w:after="18"/>
        <w:ind w:left="300" w:hanging="300"/>
      </w:pPr>
      <w:r>
        <w:rPr>
          <w:b/>
          <w:bCs/>
          <w:color w:val="8186EF"/>
          <w:sz w:val="16"/>
          <w:szCs w:val="16"/>
        </w:rPr>
        <w:t xml:space="preserve">3  </w:t>
      </w:r>
      <w:r>
        <w:rPr>
          <w:sz w:val="16"/>
          <w:szCs w:val="16"/>
        </w:rPr>
        <w:t xml:space="preserve">The book writes: “Equity method: dividends reduce the investment. Take only the investor's share of the investee's income. Depreciate the part of the basis difference assigned to assets; do not amortize the goodwill. SC9-7 Orontes holds 3% of a listed company's shares.”</w:t>
      </w:r>
    </w:p>
    <w:p>
      <w:pPr>
        <w:spacing w:after="18"/>
        <w:ind w:left="300" w:hanging="300"/>
      </w:pPr>
      <w:r>
        <w:rPr>
          <w:b/>
          <w:bCs/>
          <w:color w:val="8186EF"/>
          <w:sz w:val="16"/>
          <w:szCs w:val="16"/>
        </w:rPr>
        <w:t xml:space="preserve">4  </w:t>
      </w:r>
      <w:r>
        <w:rPr>
          <w:sz w:val="16"/>
          <w:szCs w:val="16"/>
        </w:rPr>
        <w:t xml:space="preserve">The book pairs A with “Corporate bond”.</w:t>
      </w:r>
    </w:p>
    <w:p>
      <w:pPr>
        <w:spacing w:after="18"/>
        <w:ind w:left="300" w:hanging="300"/>
      </w:pPr>
      <w:r>
        <w:rPr>
          <w:b/>
          <w:bCs/>
          <w:color w:val="8186EF"/>
          <w:sz w:val="16"/>
          <w:szCs w:val="16"/>
        </w:rPr>
        <w:t xml:space="preserve">5  </w:t>
      </w:r>
      <w:r>
        <w:rPr>
          <w:sz w:val="16"/>
          <w:szCs w:val="16"/>
        </w:rPr>
        <w:t xml:space="preserve">The book’s own table gives Corporate bond as the investment of A.</w:t>
      </w:r>
    </w:p>
    <w:p>
      <w:pPr>
        <w:spacing w:after="18"/>
        <w:ind w:left="300" w:hanging="300"/>
      </w:pPr>
      <w:r>
        <w:rPr>
          <w:b/>
          <w:bCs/>
          <w:color w:val="8186EF"/>
          <w:sz w:val="16"/>
          <w:szCs w:val="16"/>
        </w:rPr>
        <w:t xml:space="preserve">6  </w:t>
      </w:r>
      <w:r>
        <w:rPr>
          <w:sz w:val="16"/>
          <w:szCs w:val="16"/>
        </w:rPr>
        <w:t xml:space="preserve">The book’s own table gives Government bond as the investment of B.</w:t>
      </w:r>
    </w:p>
    <w:p>
      <w:pPr>
        <w:spacing w:after="18"/>
        <w:ind w:left="300" w:hanging="300"/>
      </w:pPr>
      <w:r>
        <w:rPr>
          <w:b/>
          <w:bCs/>
          <w:color w:val="8186EF"/>
          <w:sz w:val="16"/>
          <w:szCs w:val="16"/>
        </w:rPr>
        <w:t xml:space="preserve">7  </w:t>
      </w:r>
      <w:r>
        <w:rPr>
          <w:sz w:val="16"/>
          <w:szCs w:val="16"/>
        </w:rPr>
        <w:t xml:space="preserve">The book’s own table gives Corporate bond as the investment of C.</w:t>
      </w:r>
    </w:p>
    <w:p>
      <w:pPr>
        <w:spacing w:after="18"/>
        <w:ind w:left="300" w:hanging="300"/>
      </w:pPr>
      <w:r>
        <w:rPr>
          <w:b/>
          <w:bCs/>
          <w:color w:val="8186EF"/>
          <w:sz w:val="16"/>
          <w:szCs w:val="16"/>
        </w:rPr>
        <w:t xml:space="preserve">8  </w:t>
      </w:r>
      <w:r>
        <w:rPr>
          <w:sz w:val="16"/>
          <w:szCs w:val="16"/>
        </w:rPr>
        <w:t xml:space="preserve">The book’s own table gives Listed shares (5% of the company) as the investment of D.</w:t>
      </w:r>
    </w:p>
    <w:p>
      <w:pPr>
        <w:spacing w:after="18"/>
        <w:ind w:left="300" w:hanging="300"/>
      </w:pPr>
      <w:r>
        <w:rPr>
          <w:b/>
          <w:bCs/>
          <w:color w:val="8186EF"/>
          <w:sz w:val="16"/>
          <w:szCs w:val="16"/>
        </w:rPr>
        <w:t xml:space="preserve">9  </w:t>
      </w:r>
      <w:r>
        <w:rPr>
          <w:sz w:val="16"/>
          <w:szCs w:val="16"/>
        </w:rPr>
        <w:t xml:space="preserve">The book pairs A with “cost 40,000; fair value 42,000”.</w:t>
      </w:r>
    </w:p>
    <w:p>
      <w:pPr>
        <w:spacing w:after="18"/>
        <w:ind w:left="300" w:hanging="300"/>
      </w:pPr>
      <w:r>
        <w:rPr>
          <w:b/>
          <w:bCs/>
          <w:color w:val="8186EF"/>
          <w:sz w:val="16"/>
          <w:szCs w:val="16"/>
        </w:rPr>
        <w:t xml:space="preserve">10  </w:t>
      </w:r>
      <w:r>
        <w:rPr>
          <w:sz w:val="16"/>
          <w:szCs w:val="16"/>
        </w:rPr>
        <w:t xml:space="preserve">The book pairs B with “cost 60,000; fair value 57,000”, not with “cost 40,000; fair value 42,000”.</w:t>
      </w:r>
    </w:p>
    <w:p>
      <w:pPr>
        <w:spacing w:after="18"/>
        <w:ind w:left="300" w:hanging="300"/>
      </w:pPr>
      <w:r>
        <w:rPr>
          <w:b/>
          <w:bCs/>
          <w:color w:val="8186EF"/>
          <w:sz w:val="16"/>
          <w:szCs w:val="16"/>
        </w:rPr>
        <w:t xml:space="preserve">12  </w:t>
      </w:r>
      <w:r>
        <w:rPr>
          <w:sz w:val="16"/>
          <w:szCs w:val="16"/>
        </w:rPr>
        <w:t xml:space="preserve">The book gives cost 40,000; fair value 42,000 as the amounts, dec 31, 2025 of A.</w:t>
      </w:r>
    </w:p>
    <w:p>
      <w:pPr>
        <w:spacing w:after="18"/>
        <w:ind w:left="300" w:hanging="300"/>
      </w:pPr>
      <w:r>
        <w:rPr>
          <w:b/>
          <w:bCs/>
          <w:color w:val="8186EF"/>
          <w:sz w:val="16"/>
          <w:szCs w:val="16"/>
        </w:rPr>
        <w:t xml:space="preserve">13  </w:t>
      </w:r>
      <w:r>
        <w:rPr>
          <w:sz w:val="16"/>
          <w:szCs w:val="16"/>
        </w:rPr>
        <w:t xml:space="preserve">Compare your sentence with the book’s wording in the key.</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exam marks the term, so the English word is the answer.</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9.5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Trading securities · Held-to-maturity (HTM) securities · Available-for-sale (AFS) securities · debt security</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reclassification adjustment · fair value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significant influence · equity method · fair value option</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9.1: Three categories of debt securities. 9.2: Measuring debt securities. 9.3: Credit losses on debt securities. 9.4: Equity securities and the equity method.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“Trading securities are bought and held mainly to sell in the near term. Held-to-maturity (HTM) securities are securities the company has the positive intent and the ability to hold until they mature. Available-for-sale (AFS) securities are all other debt securities. Decision tree for classifying a debt security as trading, held-to-maturity or available-for-sale.”</w:t>
      </w:r>
    </w:p>
    <w:p>
      <w:pPr>
        <w:spacing w:after="18"/>
        <w:ind w:left="300" w:hanging="300"/>
      </w:pPr>
      <w:r>
        <w:rPr>
          <w:b/>
          <w:bCs/>
          <w:color w:val="8186EF"/>
          <w:sz w:val="16"/>
          <w:szCs w:val="16"/>
        </w:rPr>
        <w:t xml:space="preserve">2  </w:t>
      </w:r>
      <w:r>
        <w:rPr>
          <w:sz w:val="16"/>
          <w:szCs w:val="16"/>
        </w:rPr>
        <w:t xml:space="preserve">The book writes: “When Orontes sells the bond, the realized gain or loss moves to net income through a reclassification adjustment, sometimes called recycling. Timeline of an available-for-sale bond: OCI while held, recycled to net income on sale. Accumulated OCI for the bond returns to zero, so the gain is never counted twice. Transfers between categories are made at fair value.”</w:t>
      </w:r>
    </w:p>
    <w:p>
      <w:pPr>
        <w:spacing w:after="18"/>
        <w:ind w:left="300" w:hanging="300"/>
      </w:pPr>
      <w:r>
        <w:rPr>
          <w:b/>
          <w:bCs/>
          <w:color w:val="8186EF"/>
          <w:sz w:val="16"/>
          <w:szCs w:val="16"/>
        </w:rPr>
        <w:t xml:space="preserve">3  </w:t>
      </w:r>
      <w:r>
        <w:rPr>
          <w:sz w:val="16"/>
          <w:szCs w:val="16"/>
        </w:rPr>
        <w:t xml:space="preserve">The book writes: “And when an investor first gains significant influence, it starts the equity method from that date; it does not restate prior years. An investor may also elect the fair value option for an equity-method investment.”</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“Three categories of debt securities” as section 9.1.</w:t>
      </w:r>
    </w:p>
    <w:p>
      <w:pPr>
        <w:spacing w:after="18"/>
        <w:ind w:left="300" w:hanging="300"/>
      </w:pPr>
      <w:r>
        <w:rPr>
          <w:b/>
          <w:bCs/>
          <w:color w:val="8186EF"/>
          <w:sz w:val="16"/>
          <w:szCs w:val="16"/>
        </w:rPr>
        <w:t xml:space="preserve">6  </w:t>
      </w:r>
      <w:r>
        <w:rPr>
          <w:sz w:val="16"/>
          <w:szCs w:val="16"/>
        </w:rPr>
        <w:t xml:space="preserve">The book numbers “Measuring debt securities” as section 9.2.</w:t>
      </w:r>
    </w:p>
    <w:p>
      <w:pPr>
        <w:spacing w:after="18"/>
        <w:ind w:left="300" w:hanging="300"/>
      </w:pPr>
      <w:r>
        <w:rPr>
          <w:b/>
          <w:bCs/>
          <w:color w:val="8186EF"/>
          <w:sz w:val="16"/>
          <w:szCs w:val="16"/>
        </w:rPr>
        <w:t xml:space="preserve">7  </w:t>
      </w:r>
      <w:r>
        <w:rPr>
          <w:sz w:val="16"/>
          <w:szCs w:val="16"/>
        </w:rPr>
        <w:t xml:space="preserve">The book numbers “Credit losses on debt securities” as section 9.3.</w:t>
      </w:r>
    </w:p>
    <w:p>
      <w:pPr>
        <w:spacing w:after="18"/>
        <w:ind w:left="300" w:hanging="300"/>
      </w:pPr>
      <w:r>
        <w:rPr>
          <w:b/>
          <w:bCs/>
          <w:color w:val="8186EF"/>
          <w:sz w:val="16"/>
          <w:szCs w:val="16"/>
        </w:rPr>
        <w:t xml:space="preserve">12  </w:t>
      </w:r>
      <w:r>
        <w:rPr>
          <w:sz w:val="16"/>
          <w:szCs w:val="16"/>
        </w:rPr>
        <w:t xml:space="preserve">The credit loss is limited to amortized cost minus fair value. A is wrong: The present value shows a credit loss, so an allowance is needed. B is wrong: This is the Case A amount.</w:t>
      </w:r>
    </w:p>
    <w:p>
      <w:pPr>
        <w:spacing w:after="18"/>
        <w:ind w:left="300" w:hanging="300"/>
      </w:pPr>
      <w:r>
        <w:rPr>
          <w:b/>
          <w:bCs/>
          <w:color w:val="8186EF"/>
          <w:sz w:val="16"/>
          <w:szCs w:val="16"/>
        </w:rPr>
        <w:t xml:space="preserve">13  </w:t>
      </w:r>
      <w:r>
        <w:rPr>
          <w:sz w:val="16"/>
          <w:szCs w:val="16"/>
        </w:rPr>
        <w:t xml:space="preserve">With an intent to sell, the whole decline goes to net income as a write-down. A is wrong: The allowance approach applies only when the company does not intend to sell. C is wrong: The loss can no longer stay in OCI.</w:t>
      </w:r>
    </w:p>
    <w:p>
      <w:pPr>
        <w:spacing w:after="18"/>
        <w:ind w:left="300" w:hanging="300"/>
      </w:pPr>
      <w:r>
        <w:rPr>
          <w:b/>
          <w:bCs/>
          <w:color w:val="8186EF"/>
          <w:sz w:val="16"/>
          <w:szCs w:val="16"/>
        </w:rPr>
        <w:t xml:space="preserve">14  </w:t>
      </w:r>
      <w:r>
        <w:rPr>
          <w:sz w:val="16"/>
          <w:szCs w:val="16"/>
        </w:rPr>
        <w:t xml:space="preserve">Shares without significant influence are measured at fair value through net income. B is wrong: U.S. GAAP has no OCI option for shares. C is wrong: Listed shares have a readily determinable fair value.</w:t>
      </w:r>
    </w:p>
    <w:p>
      <w:pPr>
        <w:spacing w:after="18"/>
        <w:ind w:left="300" w:hanging="300"/>
      </w:pPr>
      <w:r>
        <w:rPr>
          <w:b/>
          <w:bCs/>
          <w:color w:val="8186EF"/>
          <w:sz w:val="16"/>
          <w:szCs w:val="16"/>
        </w:rPr>
        <w:t xml:space="preserve">15  </w:t>
      </w:r>
      <w:r>
        <w:rPr>
          <w:sz w:val="16"/>
          <w:szCs w:val="16"/>
        </w:rPr>
        <w:t xml:space="preserve">It is not bought to trade in the near term, and the possible sales rule out HTM. A is wrong: Selling in response to rates or cash needs shows no positive intent to hold. B is wrong: Trading needs the purpose of selling in the near term.</w:t>
      </w:r>
    </w:p>
    <w:p>
      <w:pPr>
        <w:spacing w:after="18"/>
        <w:ind w:left="300" w:hanging="300"/>
      </w:pPr>
      <w:r>
        <w:rPr>
          <w:b/>
          <w:bCs/>
          <w:color w:val="8186EF"/>
          <w:sz w:val="16"/>
          <w:szCs w:val="16"/>
        </w:rPr>
        <w:t xml:space="preserve">16  </w:t>
      </w:r>
      <w:r>
        <w:rPr>
          <w:sz w:val="16"/>
          <w:szCs w:val="16"/>
        </w:rPr>
        <w:t xml:space="preserve">Every later answer depends on the adjusted exhibit.</w:t>
      </w:r>
    </w:p>
    <w:p>
      <w:pPr>
        <w:spacing w:after="18"/>
        <w:ind w:left="300" w:hanging="300"/>
      </w:pPr>
      <w:r>
        <w:rPr>
          <w:b/>
          <w:bCs/>
          <w:color w:val="8186EF"/>
          <w:sz w:val="16"/>
          <w:szCs w:val="16"/>
        </w:rPr>
        <w:t xml:space="preserve">17  </w:t>
      </w:r>
      <w:r>
        <w:rPr>
          <w:sz w:val="16"/>
          <w:szCs w:val="16"/>
        </w:rPr>
        <w:t xml:space="preserve">The book states item C9-1 in those words.</w:t>
      </w:r>
    </w:p>
    <w:p>
      <w:pPr>
        <w:spacing w:after="18"/>
        <w:ind w:left="300" w:hanging="300"/>
      </w:pPr>
      <w:r>
        <w:rPr>
          <w:b/>
          <w:bCs/>
          <w:color w:val="8186EF"/>
          <w:sz w:val="16"/>
          <w:szCs w:val="16"/>
        </w:rPr>
        <w:t xml:space="preserve">18  </w:t>
      </w:r>
      <w:r>
        <w:rPr>
          <w:sz w:val="16"/>
          <w:szCs w:val="16"/>
        </w:rPr>
        <w:t xml:space="preserve">The book states item C9-2 in those words.</w:t>
      </w:r>
    </w:p>
    <w:p>
      <w:pPr>
        <w:spacing w:after="18"/>
        <w:ind w:left="300" w:hanging="300"/>
      </w:pPr>
      <w:r>
        <w:rPr>
          <w:b/>
          <w:bCs/>
          <w:color w:val="8186EF"/>
          <w:sz w:val="16"/>
          <w:szCs w:val="16"/>
        </w:rPr>
        <w:t xml:space="preserve">19  </w:t>
      </w:r>
      <w:r>
        <w:rPr>
          <w:sz w:val="16"/>
          <w:szCs w:val="16"/>
        </w:rPr>
        <w:t xml:space="preserve">The book states item C9-3 in those words.</w:t>
      </w:r>
    </w:p>
    <w:p>
      <w:pPr>
        <w:spacing w:after="18"/>
        <w:ind w:left="300" w:hanging="300"/>
      </w:pPr>
      <w:r>
        <w:rPr>
          <w:b/>
          <w:bCs/>
          <w:color w:val="8186EF"/>
          <w:sz w:val="16"/>
          <w:szCs w:val="16"/>
        </w:rPr>
        <w:t xml:space="preserve">20  </w:t>
      </w:r>
      <w:r>
        <w:rPr>
          <w:sz w:val="16"/>
          <w:szCs w:val="16"/>
        </w:rPr>
        <w:t xml:space="preserve">The book states item C9-4 in those words.</w:t>
      </w:r>
    </w:p>
    <w:p>
      <w:pPr>
        <w:spacing w:after="18"/>
        <w:ind w:left="300" w:hanging="300"/>
      </w:pPr>
      <w:r>
        <w:rPr>
          <w:b/>
          <w:bCs/>
          <w:color w:val="8186EF"/>
          <w:sz w:val="16"/>
          <w:szCs w:val="16"/>
        </w:rPr>
        <w:t xml:space="preserve">21  </w:t>
      </w:r>
      <w:r>
        <w:rPr>
          <w:sz w:val="16"/>
          <w:szCs w:val="16"/>
        </w:rPr>
        <w:t xml:space="preserve">The book states item C9-5 in those words.</w:t>
      </w:r>
    </w:p>
    <w:p>
      <w:pPr>
        <w:spacing w:after="18"/>
        <w:ind w:left="300" w:hanging="300"/>
      </w:pPr>
      <w:r>
        <w:rPr>
          <w:b/>
          <w:bCs/>
          <w:color w:val="8186EF"/>
          <w:sz w:val="16"/>
          <w:szCs w:val="16"/>
        </w:rPr>
        <w:t xml:space="preserve">22  </w:t>
      </w:r>
      <w:r>
        <w:rPr>
          <w:sz w:val="16"/>
          <w:szCs w:val="16"/>
        </w:rPr>
        <w:t xml:space="preserve">The book states item C9-6 in those words.</w:t>
      </w:r>
    </w:p>
    <w:p>
      <w:pPr>
        <w:spacing w:after="18"/>
        <w:ind w:left="300" w:hanging="300"/>
      </w:pPr>
      <w:r>
        <w:rPr>
          <w:b/>
          <w:bCs/>
          <w:color w:val="8186EF"/>
          <w:sz w:val="16"/>
          <w:szCs w:val="16"/>
        </w:rPr>
        <w:t xml:space="preserve">23  </w:t>
      </w:r>
      <w:r>
        <w:rPr>
          <w:sz w:val="16"/>
          <w:szCs w:val="16"/>
        </w:rPr>
        <w:t xml:space="preserve">It is not bought to trade in the near term, and the possible sales rule out HTM. A is wrong: Selling in response to rates or cash needs shows no positive intent to hold. B is wrong: Trading needs the purpose of selling in the near term.</w:t>
      </w:r>
    </w:p>
    <w:p>
      <w:pPr>
        <w:spacing w:after="18"/>
        <w:ind w:left="300" w:hanging="300"/>
      </w:pPr>
      <w:r>
        <w:rPr>
          <w:b/>
          <w:bCs/>
          <w:color w:val="8186EF"/>
          <w:sz w:val="16"/>
          <w:szCs w:val="16"/>
        </w:rPr>
        <w:t xml:space="preserve">24  </w:t>
      </w:r>
      <w:r>
        <w:rPr>
          <w:sz w:val="16"/>
          <w:szCs w:val="16"/>
        </w:rPr>
        <w:t xml:space="preserve">Only debt securities have a maturity; shares never qualify. B is wrong: Shares have no maturity date. C is wrong: Equity securities never use the HTM category.</w:t>
      </w:r>
    </w:p>
    <w:p/>
    <w:p>
      <w:pPr>
        <w:sectPr>
          <w:headerReference w:type="default" r:id="rIdHdr5"/>
          <w:pgSz w:w="11906" w:h="16838" w:orient="portrait"/>
          <w:pgMar w:top="1180" w:right="1000" w:bottom="900" w:left="1000" w:header="708" w:footer="708" w:gutter="0"/>
          <w:docGrid w:linePitch="360"/>
          <w:pgNumType w:start="1"/>
        </w:sectPr>
      </w:pPr>
    </w:p>
    <w:sectPr>
      <w:headerReference w:type="default" r:id="rIdHdr5"/>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9 — answer keys</dc:title>
  <dc:subject>Investments in Debt and Equity Securities</dc:subject>
  <cp:category>Student Book</cp:category>
</cp:coreProperties>
</file>