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officedocument.wordprocessingml.numbering+xml" PartName="/word/numbering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package.core-properties+xml" PartName="/docProps/cor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  <Override ContentType="application/vnd.openxmlformats-officedocument.wordprocessingml.header+xml" PartName="/word/header4.xml"/>
  <Override ContentType="application/vnd.openxmlformats-officedocument.wordprocessingml.header+xml" PartName="/word/header5.xml"/>
  <Override ContentType="application/vnd.openxmlformats-officedocument.wordprocessingml.header+xml" PartName="/word/header6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10.1</w:t>
      </w:r>
    </w:p>
    <w:p>
      <w:pPr>
        <w:spacing w:after="8"/>
      </w:pPr>
      <w:r>
        <w:rPr>
          <w:color w:val="23265A"/>
          <w:sz w:val="22"/>
          <w:szCs w:val="22"/>
        </w:rPr>
        <w:t xml:space="preserve">The cost of property, plant and equipment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section 10.1 of the book</w:t>
      </w:r>
    </w:p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9600"/>
      </w:tblGrid>
      <w:tr>
        <w:tc>
          <w:tcPr>
            <w:tcW w:type="pct" w:w="5000"/>
            <w:shd w:fill="353A7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50" w:after="16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Before you start</w:t>
            </w:r>
          </w:p>
          <w:p>
            <w:pPr>
              <w:spacing w:before="0" w:after="50"/>
            </w:pPr>
            <w:r>
              <w:rPr>
                <w:color w:val="E8EAF6"/>
                <w:sz w:val="16"/>
                <w:szCs w:val="16"/>
              </w:rPr>
              <w:t xml:space="preserve">Three summaries of this handout, in the book’s own words. Read all three first: together they are the whole session. Then fill the gaps, guessing where you have to.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2465"/>
        <w:gridCol w:w="2735"/>
        <w:gridCol w:w="4400"/>
      </w:tblGrid>
      <w:tr>
        <w:tc>
          <w:tcPr>
            <w:tcW w:type="pct" w:w="5000"/>
            <w:gridSpan w:val="3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What this handout settles, cycle by cycle</w:t>
            </w:r>
          </w:p>
        </w:tc>
      </w:tr>
      <w:tr>
        <w:tc>
          <w:tcPr>
            <w:tcW w:type="pct" w:w="1284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In this handout</w:t>
            </w:r>
          </w:p>
        </w:tc>
        <w:tc>
          <w:tcPr>
            <w:tcW w:type="pct" w:w="1424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What you will read</w:t>
            </w:r>
          </w:p>
        </w:tc>
        <w:tc>
          <w:tcPr>
            <w:tcW w:type="pct" w:w="2292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How you check it</w:t>
            </w:r>
          </w:p>
        </w:tc>
      </w:tr>
      <w:tr>
        <w:tc>
          <w:tcPr>
            <w:tcW w:type="pct" w:w="1284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The cost of property, plant and equipment</w:t>
            </w:r>
          </w:p>
        </w:tc>
        <w:tc>
          <w:tcPr>
            <w:tcW w:type="pct" w:w="1424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 figure to read · Asset</w:t>
            </w:r>
          </w:p>
        </w:tc>
        <w:tc>
          <w:tcPr>
            <w:tcW w:type="pct" w:w="2292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Which cost is added to the cost of a new machine?</w:t>
            </w:r>
          </w:p>
        </w:tc>
      </w:tr>
      <w:tr>
        <w:tc>
          <w:tcPr>
            <w:tcW w:type="pct" w:w="1284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The words this section uses precisely</w:t>
            </w:r>
          </w:p>
        </w:tc>
        <w:tc>
          <w:tcPr>
            <w:tcW w:type="pct" w:w="1424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The English the exam uses, and what it translates</w:t>
            </w:r>
          </w:p>
        </w:tc>
        <w:tc>
          <w:tcPr>
            <w:tcW w:type="pct" w:w="2292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What is the safest way to settle a disagreement about an answer on this sheet?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992"/>
        <w:gridCol w:w="4608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Words this handout uses precisely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Words this handout uses precisely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tick it if you could already use it in a sentence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property, plant and equipment (PP&amp;E)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impairment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revenue expenditure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units-of-production method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asset group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</w:tbl>
    <w:p/>
    <w:p>
      <w:pPr>
        <w:spacing w:before="40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1.  </w:t>
      </w:r>
      <w:r>
        <w:rPr>
          <w:sz w:val="19"/>
          <w:szCs w:val="19"/>
        </w:rPr>
        <w:t xml:space="preserve">Where the section starts — Fill every gap. The list holds more words than there are gaps, so one or two of them are not used.</w:t>
      </w:r>
    </w:p>
    <w:p>
      <w:pPr>
        <w:spacing w:before="20" w:after="26"/>
        <w:ind w:left="300"/>
      </w:pPr>
      <w:r>
        <w:rPr>
          <w:color w:val="6B7280"/>
          <w:sz w:val="16"/>
          <w:szCs w:val="16"/>
        </w:rPr>
        <w:t xml:space="preserve">choose from:  </w:t>
      </w:r>
      <w:r>
        <w:rPr>
          <w:b/>
          <w:bCs/>
          <w:color w:val="353A7C"/>
          <w:sz w:val="16"/>
          <w:szCs w:val="16"/>
        </w:rPr>
        <w:t xml:space="preserve">goodwill   ·   revenue expenditure   ·   amortization   ·   capital expenditure</w:t>
      </w:r>
    </w:p>
    <w:p>
      <w:pPr>
        <w:spacing w:before="36" w:after="36"/>
        <w:ind w:left="300"/>
      </w:pPr>
      <w:r>
        <w:rPr>
          <w:sz w:val="19"/>
          <w:szCs w:val="19"/>
        </w:rPr>
        <w:t xml:space="preserve">After purchase, a </w:t>
      </w:r>
      <w:r>
        <w:rPr>
          <w:u w:val="single"/>
          <w:sz w:val="19"/>
          <w:szCs w:val="19"/>
        </w:rPr>
        <w:t xml:space="preserve">                     </w:t>
      </w:r>
      <w:r>
        <w:rPr>
          <w:sz w:val="19"/>
          <w:szCs w:val="19"/>
        </w:rPr>
        <w:t xml:space="preserve"> that extends the asset's life or increases its capacity is added to its cost. A </w:t>
      </w:r>
      <w:r>
        <w:rPr>
          <w:u w:val="single"/>
          <w:sz w:val="19"/>
          <w:szCs w:val="19"/>
        </w:rPr>
        <w:t xml:space="preserve">                     </w:t>
      </w:r>
      <w:r>
        <w:rPr>
          <w:sz w:val="19"/>
          <w:szCs w:val="19"/>
        </w:rPr>
        <w:t xml:space="preserve">, such as ordinary repairs and maintenance, is an expense of the period.</w:t>
      </w:r>
    </w:p>
    <w:p>
      <w:pPr>
        <w:spacing w:before="40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2.  </w:t>
      </w:r>
      <w:r>
        <w:rPr>
          <w:sz w:val="19"/>
          <w:szCs w:val="19"/>
        </w:rPr>
        <w:t xml:space="preserve">What it settles in the middle — Fill every gap. The list holds more words than there are gaps, so one or two of them are not used.</w:t>
      </w:r>
    </w:p>
    <w:p>
      <w:pPr>
        <w:spacing w:before="20" w:after="26"/>
        <w:ind w:left="300"/>
      </w:pPr>
      <w:r>
        <w:rPr>
          <w:color w:val="6B7280"/>
          <w:sz w:val="16"/>
          <w:szCs w:val="16"/>
        </w:rPr>
        <w:t xml:space="preserve">choose from:  </w:t>
      </w:r>
      <w:r>
        <w:rPr>
          <w:b/>
          <w:bCs/>
          <w:color w:val="353A7C"/>
          <w:sz w:val="16"/>
          <w:szCs w:val="16"/>
        </w:rPr>
        <w:t xml:space="preserve">amortization   ·   revenue expenditure   ·   goodwill   ·   capital expenditure</w:t>
      </w:r>
    </w:p>
    <w:p>
      <w:pPr>
        <w:spacing w:before="36" w:after="36"/>
        <w:ind w:left="300"/>
      </w:pPr>
      <w:r>
        <w:rPr>
          <w:sz w:val="19"/>
          <w:szCs w:val="19"/>
        </w:rPr>
        <w:t xml:space="preserve">After purchase, a </w:t>
      </w:r>
      <w:r>
        <w:rPr>
          <w:u w:val="single"/>
          <w:sz w:val="19"/>
          <w:szCs w:val="19"/>
        </w:rPr>
        <w:t xml:space="preserve">                     </w:t>
      </w:r>
      <w:r>
        <w:rPr>
          <w:sz w:val="19"/>
          <w:szCs w:val="19"/>
        </w:rPr>
        <w:t xml:space="preserve"> that extends the asset's life or increases its capacity is added to its cost. A </w:t>
      </w:r>
      <w:r>
        <w:rPr>
          <w:u w:val="single"/>
          <w:sz w:val="19"/>
          <w:szCs w:val="19"/>
        </w:rPr>
        <w:t xml:space="preserve">                     </w:t>
      </w:r>
      <w:r>
        <w:rPr>
          <w:sz w:val="19"/>
          <w:szCs w:val="19"/>
        </w:rPr>
        <w:t xml:space="preserve">, such as ordinary repairs and maintenance, is an expense of the period. When a company builds an asset for its own use, it capitalizes interest during construction.</w:t>
      </w:r>
    </w:p>
    <w:p>
      <w:pPr>
        <w:spacing w:before="40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3.  </w:t>
      </w:r>
      <w:r>
        <w:rPr>
          <w:sz w:val="19"/>
          <w:szCs w:val="19"/>
        </w:rPr>
        <w:t xml:space="preserve">Where it ends — Fill every gap. The list holds more words than there are gaps, so one or two of them are not used.</w:t>
      </w:r>
    </w:p>
    <w:p>
      <w:pPr>
        <w:spacing w:before="20" w:after="26"/>
        <w:ind w:left="300"/>
      </w:pPr>
      <w:r>
        <w:rPr>
          <w:color w:val="6B7280"/>
          <w:sz w:val="16"/>
          <w:szCs w:val="16"/>
        </w:rPr>
        <w:t xml:space="preserve">choose from:  </w:t>
      </w:r>
      <w:r>
        <w:rPr>
          <w:b/>
          <w:bCs/>
          <w:color w:val="353A7C"/>
          <w:sz w:val="16"/>
          <w:szCs w:val="16"/>
        </w:rPr>
        <w:t xml:space="preserve">revenue expenditure   ·   amortization   ·   capital expenditure   ·   goodwill</w:t>
      </w:r>
    </w:p>
    <w:p>
      <w:pPr>
        <w:spacing w:before="36" w:after="36"/>
        <w:ind w:left="300"/>
      </w:pPr>
      <w:r>
        <w:rPr>
          <w:sz w:val="19"/>
          <w:szCs w:val="19"/>
        </w:rPr>
        <w:t xml:space="preserve">When it buys several assets for one price, it divides the price by their relative fair values. After purchase, a </w:t>
      </w:r>
      <w:r>
        <w:rPr>
          <w:u w:val="single"/>
          <w:sz w:val="19"/>
          <w:szCs w:val="19"/>
        </w:rPr>
        <w:t xml:space="preserve">                     </w:t>
      </w:r>
      <w:r>
        <w:rPr>
          <w:sz w:val="19"/>
          <w:szCs w:val="19"/>
        </w:rPr>
        <w:t xml:space="preserve"> that extends the asset's life or increases its capacity is added to its cost. A </w:t>
      </w:r>
      <w:r>
        <w:rPr>
          <w:u w:val="single"/>
          <w:sz w:val="19"/>
          <w:szCs w:val="19"/>
        </w:rPr>
        <w:t xml:space="preserve">                     </w:t>
      </w:r>
      <w:r>
        <w:rPr>
          <w:sz w:val="19"/>
          <w:szCs w:val="19"/>
        </w:rPr>
        <w:t xml:space="preserve">, such as ordinary repairs and maintenance, is an expense of the period.</w:t>
      </w:r>
    </w:p>
    <w:p>
      <w:pPr>
        <w:pageBreakBefore w:val="true"/>
        <w:spacing w:after="0"/>
      </w:pPr>
      <w:r>
        <w:rPr>
          <w:sz w:val="2"/>
          <w:szCs w:val="2"/>
        </w:rPr>
        <w:t xml:space="preserve"> </w:t>
      </w:r>
    </w:p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1056"/>
        <w:gridCol w:w="8544"/>
      </w:tblGrid>
      <w:tr>
        <w:tc>
          <w:tcPr>
            <w:tcW w:type="pct" w:w="550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CYCLE A</w:t>
            </w:r>
          </w:p>
        </w:tc>
        <w:tc>
          <w:tcPr>
            <w:tcW w:type="pct" w:w="4450"/>
            <w:shd w:fill="F2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353A7C"/>
                <w:sz w:val="22"/>
                <w:szCs w:val="22"/>
              </w:rPr>
              <w:t xml:space="preserve">The cost of property, plant and equipment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ORIENT</w:t>
            </w:r>
            <w:r>
              <w:rPr>
                <w:color w:val="6B7280"/>
                <w:sz w:val="18"/>
                <w:szCs w:val="18"/>
              </w:rPr>
              <w:t xml:space="preserve">      One claim. Decide now; you will check it in a moment.</w:t>
            </w:r>
          </w:p>
        </w:tc>
      </w:tr>
    </w:tbl>
    <w:p>
      <w:pPr>
        <w:pBdr>
          <w:top w:val="single" w:sz="6" w:space="1" w:color="6B7280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4.  </w:t>
      </w:r>
      <w:r>
        <w:rPr>
          <w:sz w:val="19"/>
          <w:szCs w:val="19"/>
        </w:rPr>
        <w:t xml:space="preserve">The book gives the category of P as “Two steps: recoverability, then fair value”.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MODEL</w:t>
            </w:r>
            <w:r>
              <w:rPr>
                <w:color w:val="6B7280"/>
                <w:sz w:val="18"/>
                <w:szCs w:val="18"/>
              </w:rPr>
              <w:t xml:space="preserve">      Read it before you answer anything below it.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after="40" w:before="90"/>
        <w:jc w:val="center"/>
      </w:pPr>
      <w:r>
        <w:drawing>
          <wp:inline distT="0" distB="0" distL="0" distR="0">
            <wp:extent cx="5734050" cy="1403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40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3956"/>
        <w:gridCol w:w="5644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Asset — the book’s own table</w:t>
            </w:r>
          </w:p>
        </w:tc>
      </w:tr>
      <w:tr>
        <w:tc>
          <w:tcPr>
            <w:tcW w:type="pct" w:w="2061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Asset</w:t>
            </w:r>
          </w:p>
        </w:tc>
        <w:tc>
          <w:tcPr>
            <w:tcW w:type="pct" w:w="2939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Category</w:t>
            </w:r>
          </w:p>
        </w:tc>
      </w:tr>
      <w:tr>
        <w:tc>
          <w:tcPr>
            <w:tcW w:type="pct" w:w="2061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P</w:t>
            </w:r>
          </w:p>
        </w:tc>
        <w:tc>
          <w:tcPr>
            <w:tcW w:type="pct" w:w="2939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Two steps: recoverability, then fair value</w:t>
            </w:r>
          </w:p>
        </w:tc>
      </w:tr>
      <w:tr>
        <w:tc>
          <w:tcPr>
            <w:tcW w:type="pct" w:w="2061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W</w:t>
            </w:r>
          </w:p>
        </w:tc>
        <w:tc>
          <w:tcPr>
            <w:tcW w:type="pct" w:w="2939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Two steps: recoverability, then fair value</w:t>
            </w:r>
          </w:p>
        </w:tc>
      </w:tr>
      <w:tr>
        <w:tc>
          <w:tcPr>
            <w:tcW w:type="pct" w:w="2061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B</w:t>
            </w:r>
          </w:p>
        </w:tc>
        <w:tc>
          <w:tcPr>
            <w:tcW w:type="pct" w:w="2939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One step: carrying amount vs fair value</w:t>
            </w:r>
          </w:p>
        </w:tc>
      </w:tr>
      <w:tr>
        <w:tc>
          <w:tcPr>
            <w:tcW w:type="pct" w:w="2061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G</w:t>
            </w:r>
          </w:p>
        </w:tc>
        <w:tc>
          <w:tcPr>
            <w:tcW w:type="pct" w:w="2939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Single-step goodwill test</w:t>
            </w:r>
          </w:p>
        </w:tc>
      </w:tr>
      <w:tr>
        <w:tc>
          <w:tcPr>
            <w:tcW w:type="pct" w:w="2061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V</w:t>
            </w:r>
          </w:p>
        </w:tc>
        <w:tc>
          <w:tcPr>
            <w:tcW w:type="pct" w:w="2939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Lower of carrying amount and fair value less cost to sell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READ THE MODEL</w:t>
            </w:r>
            <w:r>
              <w:rPr>
                <w:color w:val="6B7280"/>
                <w:sz w:val="18"/>
                <w:szCs w:val="18"/>
              </w:rPr>
              <w:t xml:space="preserve">      Every answer is printed above. Find it, do not recall it.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5.  </w:t>
      </w:r>
      <w:r>
        <w:rPr>
          <w:sz w:val="19"/>
          <w:szCs w:val="19"/>
        </w:rPr>
        <w:t xml:space="preserve">Which category does the book give for P?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Single-step goodwill test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Lower of carrying amount and fair value less cost to sell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Two steps: recoverability, then fair value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One step: carrying amount vs fair value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6.  </w:t>
      </w:r>
      <w:r>
        <w:rPr>
          <w:sz w:val="19"/>
          <w:szCs w:val="19"/>
        </w:rPr>
        <w:t xml:space="preserve">Which category does the book give for W?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One step: carrying amount vs fair value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Single-step goodwill test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Lower of carrying amount and fair value less cost to sell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Two steps: recoverability, then fair value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7.  </w:t>
      </w:r>
      <w:r>
        <w:rPr>
          <w:sz w:val="19"/>
          <w:szCs w:val="19"/>
        </w:rPr>
        <w:t xml:space="preserve">Which category does the book give for B?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One step: carrying amount vs fair value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Two steps: recoverability, then fair value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Single-step goodwill test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Lower of carrying amount and fair value less cost to sell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8.  </w:t>
      </w:r>
      <w:r>
        <w:rPr>
          <w:sz w:val="19"/>
          <w:szCs w:val="19"/>
        </w:rPr>
        <w:t xml:space="preserve">Which category does the book give for G?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Single-step goodwill test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Lower of carrying amount and fair value less cost to sell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One step: carrying amount vs fair value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Two steps: recoverability, then fair value</w:t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9.  </w:t>
      </w:r>
      <w:r>
        <w:rPr>
          <w:sz w:val="19"/>
          <w:szCs w:val="19"/>
        </w:rPr>
        <w:t xml:space="preserve">The book gives the category of P as “Two steps: recoverability, then fair value”.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10.  </w:t>
      </w:r>
      <w:r>
        <w:rPr>
          <w:sz w:val="19"/>
          <w:szCs w:val="19"/>
        </w:rPr>
        <w:t xml:space="preserve">The book gives the category of W as “Single-step goodwill test”.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D3F7E"/>
                <w:sz w:val="17"/>
                <w:szCs w:val="17"/>
              </w:rPr>
              <w:t xml:space="preserve">APPLY</w:t>
            </w:r>
            <w:r>
              <w:rPr>
                <w:color w:val="6B7280"/>
                <w:sz w:val="18"/>
                <w:szCs w:val="18"/>
              </w:rPr>
              <w:t xml:space="preserve">      No help on this move.</w:t>
            </w:r>
          </w:p>
        </w:tc>
      </w:tr>
    </w:tbl>
    <w:p>
      <w:pPr>
        <w:pBdr>
          <w:top w:val="single" w:sz="6" w:space="1" w:color="6D3F7E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11.  </w:t>
      </w:r>
      <w:r>
        <w:rPr>
          <w:sz w:val="19"/>
          <w:szCs w:val="19"/>
        </w:rPr>
        <w:t xml:space="preserve">Use the bottling line. What is double-declining depreciation in year 2 (whole USD)?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210,000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288,000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280,000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480,000</w:t>
            </w:r>
          </w:p>
        </w:tc>
      </w:tr>
    </w:tbl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12.  </w:t>
      </w:r>
      <w:r>
        <w:rPr>
          <w:sz w:val="19"/>
          <w:szCs w:val="19"/>
        </w:rPr>
        <w:t xml:space="preserve">After two years, Orontes revises the useful life and salvage value of an asset. How does it account for the change?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By restating the prior two years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Prospectively, over the remaining life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By a cumulative adjustment in the current year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By an adjustment to opening retained earnings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13.  </w:t>
      </w:r>
      <w:r>
        <w:rPr>
          <w:sz w:val="19"/>
          <w:szCs w:val="19"/>
        </w:rPr>
        <w:t xml:space="preserve">Orontes buys land with an old building, which it knocks down to build a warehouse. The demolition cost is: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added to the cost of the new warehouse.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expensed immediately.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added to the cost of the land.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added to the cost of the old building.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14.  </w:t>
      </w:r>
      <w:r>
        <w:rPr>
          <w:sz w:val="19"/>
          <w:szCs w:val="19"/>
        </w:rPr>
        <w:t xml:space="preserve">Use the bottling line. What is sum-of-the-years'-digits depreciation in year 1 (whole USD)?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70,000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400,000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350,000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480,000</w:t>
            </w:r>
          </w:p>
        </w:tc>
      </w:tr>
    </w:tbl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15.  </w:t>
      </w:r>
      <w:r>
        <w:rPr>
          <w:sz w:val="19"/>
          <w:szCs w:val="19"/>
        </w:rPr>
        <w:t xml:space="preserve">Use the bottling line. What is double-declining depreciation in year 1 (whole USD)?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210,000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420,000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350,000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480,000</w:t>
            </w:r>
          </w:p>
        </w:tc>
      </w:tr>
    </w:tbl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16.  </w:t>
      </w:r>
      <w:r>
        <w:rPr>
          <w:sz w:val="19"/>
          <w:szCs w:val="19"/>
        </w:rPr>
        <w:t xml:space="preserve">Compared with straight-line, an accelerated method in the FIRST year of an asset's life gives: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lower net income and a lower carrying amount.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higher net income and a higher carrying amount.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higher cash flow from operations before taxes.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higher total depreciation over the asset's life.</w:t>
      </w:r>
    </w:p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1F7A6A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WORK IN PAIRS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1F7A6A"/>
                <w:sz w:val="18"/>
                <w:szCs w:val="18"/>
              </w:rPr>
              <w:t xml:space="preserve">Compare every answer on this page with your partner before you read any key.</w:t>
            </w:r>
          </w:p>
        </w:tc>
      </w:tr>
    </w:tbl>
    <w:p>
      <w:pPr>
        <w:spacing w:before="20" w:after="50"/>
      </w:pPr>
      <w:r>
        <w:rPr>
          <w:b/>
          <w:bCs/>
          <w:color w:val="1F7A6A"/>
          <w:sz w:val="16"/>
          <w:szCs w:val="16"/>
        </w:rPr>
        <w:t xml:space="preserve">If you disagree: </w:t>
      </w:r>
      <w:r>
        <w:rPr>
          <w:color w:val="6B7280"/>
          <w:sz w:val="16"/>
          <w:szCs w:val="16"/>
        </w:rPr>
        <w:t xml:space="preserve">go back to the model and find the row that settles it. The row decides, not the louder voice.</w:t>
      </w:r>
    </w:p>
    <w:tbl>
      <w:tblPr>
        <w:tblW w:type="pct" w:w="100%"/>
        <w:tblLayout w:type="fixed"/>
        <w:tblBorders>
          <w:top w:val="single" w:color="C0483F" w:sz="12"/>
          <w:left w:val="single" w:color="C0483F" w:sz="12"/>
          <w:bottom w:val="single" w:color="C0483F" w:sz="12"/>
          <w:right w:val="single" w:color="C0483F" w:sz="12"/>
          <w:insideH w:val="single" w:color="C0483F" w:sz="12"/>
          <w:insideV w:val="single" w:color="C0483F" w:sz="12"/>
        </w:tblBorders>
      </w:tblPr>
      <w:tblGrid>
        <w:gridCol w:w="9600"/>
      </w:tblGrid>
      <w:tr>
        <w:tc>
          <w:tcPr>
            <w:tcW w:type="pct" w:w="5000"/>
            <w:shd w:fill="FBF0E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50" w:after="24"/>
            </w:pPr>
            <w:r>
              <w:rPr>
                <w:b/>
                <w:bCs/>
                <w:color w:val="C0483F"/>
                <w:sz w:val="16"/>
                <w:szCs w:val="16"/>
              </w:rPr>
              <w:t xml:space="preserve">CHECKPOINT  </w:t>
            </w:r>
            <w:r>
              <w:rPr>
                <w:b/>
                <w:bCs/>
                <w:color w:val="353A7C"/>
                <w:sz w:val="19"/>
                <w:szCs w:val="19"/>
              </w:rPr>
              <w:t xml:space="preserve">17.  </w:t>
            </w:r>
            <w:r>
              <w:rPr>
                <w:sz w:val="19"/>
                <w:szCs w:val="19"/>
              </w:rPr>
              <w:t xml:space="preserve">Which cost is added to the cost of a new machine?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Repairs after the first year of use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Training staff to use the machine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Insurance during normal operations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Installation and testing before use</w:t>
            </w:r>
          </w:p>
          <w:p>
            <w:pPr>
              <w:spacing w:before="20" w:after="50"/>
            </w:pPr>
            <w:r>
              <w:rPr>
                <w:color w:val="C0483F"/>
                <w:sz w:val="17"/>
                <w:szCs w:val="17"/>
              </w:rPr>
              <w:t xml:space="preserve">If you got it wrong: redo the READ THE MODEL questions of cycle A with the model in front of you.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1056"/>
        <w:gridCol w:w="8544"/>
      </w:tblGrid>
      <w:tr>
        <w:tc>
          <w:tcPr>
            <w:tcW w:type="pct" w:w="550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CYCLE B</w:t>
            </w:r>
          </w:p>
        </w:tc>
        <w:tc>
          <w:tcPr>
            <w:tcW w:type="pct" w:w="4450"/>
            <w:shd w:fill="F2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353A7C"/>
                <w:sz w:val="22"/>
                <w:szCs w:val="22"/>
              </w:rPr>
              <w:t xml:space="preserve">The words this section uses precisely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ORIENT</w:t>
            </w:r>
          </w:p>
        </w:tc>
      </w:tr>
    </w:tbl>
    <w:p>
      <w:pPr>
        <w:pBdr>
          <w:top w:val="single" w:sz="6" w:space="1" w:color="6B7280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18.  </w:t>
      </w:r>
      <w:r>
        <w:rPr>
          <w:sz w:val="19"/>
          <w:szCs w:val="19"/>
        </w:rPr>
        <w:t xml:space="preserve">A term in the exam means exactly what the book defines it to mean, whatever it means in ordinary English.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MODEL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992"/>
        <w:gridCol w:w="4608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The English the exam uses, and what it translates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English (exam term)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the Arabic it translates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property, plant and equipment (PP&amp;E)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العقارات والآلات والمعدات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impairment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الهبوط في القيمة (انخفاض القيمة)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revenue expenditure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نفقة إيرادية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units-of-production method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طريقة وحدات الإنتاج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asset group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مجموعة أصول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READ THE MODEL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24"/>
      </w:pPr>
      <w:r>
        <w:rPr>
          <w:sz w:val="19"/>
          <w:szCs w:val="19"/>
        </w:rPr>
        <w:t xml:space="preserve">Write the letter of the Arabic term beside each English term. Every term is used once.</w:t>
      </w:r>
    </w:p>
    <w:tbl>
      <w:tblPr>
        <w:tblW w:type="pct" w:w="100%"/>
        <w:tblLayout w:type="fixed"/>
        <w:tblBorders>
          <w:top w:val="single" w:color="8186EF" w:sz="4"/>
          <w:left w:val="single" w:color="8186EF" w:sz="4"/>
          <w:bottom w:val="single" w:color="8186EF" w:sz="4"/>
          <w:right w:val="single" w:color="8186EF" w:sz="4"/>
          <w:insideH w:val="single" w:color="8186EF" w:sz="4"/>
          <w:insideV w:val="single" w:color="8186EF" w:sz="4"/>
        </w:tblBorders>
      </w:tblPr>
      <w:tblGrid>
        <w:gridCol w:w="4800"/>
        <w:gridCol w:w="4800"/>
      </w:tblGrid>
      <w:tr>
        <w:tc>
          <w:tcPr>
            <w:tcW w:type="pct" w:w="25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18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A  </w:t>
            </w:r>
            <w:r>
              <w:rPr>
                <w:sz w:val="16"/>
                <w:szCs w:val="16"/>
              </w:rPr>
              <w:t xml:space="preserve">العقارات والآلات والمعدات</w:t>
            </w:r>
          </w:p>
        </w:tc>
        <w:tc>
          <w:tcPr>
            <w:tcW w:type="pct" w:w="25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18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D  </w:t>
            </w:r>
            <w:r>
              <w:rPr>
                <w:sz w:val="16"/>
                <w:szCs w:val="16"/>
              </w:rPr>
              <w:t xml:space="preserve">مجموعة أصول</w:t>
            </w:r>
          </w:p>
        </w:tc>
      </w:tr>
      <w:tr>
        <w:tc>
          <w:tcPr>
            <w:tcW w:type="pct" w:w="25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18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B  </w:t>
            </w:r>
            <w:r>
              <w:rPr>
                <w:sz w:val="16"/>
                <w:szCs w:val="16"/>
              </w:rPr>
              <w:t xml:space="preserve">نفقة إيرادية</w:t>
            </w:r>
          </w:p>
        </w:tc>
        <w:tc>
          <w:tcPr>
            <w:tcW w:type="pct" w:w="25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18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E  </w:t>
            </w:r>
            <w:r>
              <w:rPr>
                <w:sz w:val="16"/>
                <w:szCs w:val="16"/>
              </w:rPr>
              <w:t xml:space="preserve">الهبوط في القيمة (انخفاض القيمة)</w:t>
            </w:r>
          </w:p>
        </w:tc>
      </w:tr>
      <w:tr>
        <w:tc>
          <w:tcPr>
            <w:tcW w:type="pct" w:w="25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18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C  </w:t>
            </w:r>
            <w:r>
              <w:rPr>
                <w:sz w:val="16"/>
                <w:szCs w:val="16"/>
              </w:rPr>
              <w:t xml:space="preserve">طريقة وحدات الإنتاج</w:t>
            </w:r>
          </w:p>
        </w:tc>
        <w:tc>
          <w:tcPr>
            <w:tcW w:type="pct" w:w="25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24" w:after="24"/>
            </w:pPr>
            <w:r>
              <w:rPr>
                <w:sz w:val="16"/>
                <w:szCs w:val="16"/>
              </w:rPr>
              <w:t xml:space="preserve"/>
            </w:r>
          </w:p>
        </w:tc>
      </w:tr>
    </w:tbl>
    <w:p/>
    <w:p>
      <w:pPr>
        <w:spacing w:before="24" w:after="24"/>
        <w:ind w:left="300" w:hanging="300"/>
      </w:pPr>
      <w:r>
        <w:rPr>
          <w:b/>
          <w:bCs/>
          <w:color w:val="353A7C"/>
          <w:sz w:val="18"/>
          <w:szCs w:val="18"/>
        </w:rPr>
        <w:t xml:space="preserve">19.  </w:t>
      </w:r>
      <w:r>
        <w:rPr>
          <w:sz w:val="18"/>
          <w:szCs w:val="18"/>
        </w:rPr>
        <w:t xml:space="preserve">asset group</w:t>
      </w:r>
      <w:r>
        <w:rPr>
          <w:sz w:val="18"/>
          <w:szCs w:val="18"/>
        </w:rPr>
        <w:t xml:space="preserve">      </w:t>
      </w:r>
      <w:r>
        <w:rPr>
          <w:u w:val="single"/>
          <w:sz w:val="18"/>
          <w:szCs w:val="18"/>
        </w:rPr>
        <w:t xml:space="preserve">        </w:t>
      </w:r>
    </w:p>
    <w:p>
      <w:pPr>
        <w:spacing w:before="24" w:after="24"/>
        <w:ind w:left="300" w:hanging="300"/>
      </w:pPr>
      <w:r>
        <w:rPr>
          <w:b/>
          <w:bCs/>
          <w:color w:val="353A7C"/>
          <w:sz w:val="18"/>
          <w:szCs w:val="18"/>
        </w:rPr>
        <w:t xml:space="preserve">20.  </w:t>
      </w:r>
      <w:r>
        <w:rPr>
          <w:sz w:val="18"/>
          <w:szCs w:val="18"/>
        </w:rPr>
        <w:t xml:space="preserve">property, plant and equipment (PP&amp;E)</w:t>
      </w:r>
      <w:r>
        <w:rPr>
          <w:sz w:val="18"/>
          <w:szCs w:val="18"/>
        </w:rPr>
        <w:t xml:space="preserve">      </w:t>
      </w:r>
      <w:r>
        <w:rPr>
          <w:u w:val="single"/>
          <w:sz w:val="18"/>
          <w:szCs w:val="18"/>
        </w:rPr>
        <w:t xml:space="preserve">        </w:t>
      </w:r>
    </w:p>
    <w:p>
      <w:pPr>
        <w:spacing w:before="24" w:after="24"/>
        <w:ind w:left="300" w:hanging="300"/>
      </w:pPr>
      <w:r>
        <w:rPr>
          <w:b/>
          <w:bCs/>
          <w:color w:val="353A7C"/>
          <w:sz w:val="18"/>
          <w:szCs w:val="18"/>
        </w:rPr>
        <w:t xml:space="preserve">21.  </w:t>
      </w:r>
      <w:r>
        <w:rPr>
          <w:sz w:val="18"/>
          <w:szCs w:val="18"/>
        </w:rPr>
        <w:t xml:space="preserve">units-of-production method</w:t>
      </w:r>
      <w:r>
        <w:rPr>
          <w:sz w:val="18"/>
          <w:szCs w:val="18"/>
        </w:rPr>
        <w:t xml:space="preserve">      </w:t>
      </w:r>
      <w:r>
        <w:rPr>
          <w:u w:val="single"/>
          <w:sz w:val="18"/>
          <w:szCs w:val="18"/>
        </w:rPr>
        <w:t xml:space="preserve">        </w:t>
      </w:r>
    </w:p>
    <w:p>
      <w:pPr>
        <w:spacing w:before="24" w:after="24"/>
        <w:ind w:left="300" w:hanging="300"/>
      </w:pPr>
      <w:r>
        <w:rPr>
          <w:b/>
          <w:bCs/>
          <w:color w:val="353A7C"/>
          <w:sz w:val="18"/>
          <w:szCs w:val="18"/>
        </w:rPr>
        <w:t xml:space="preserve">22.  </w:t>
      </w:r>
      <w:r>
        <w:rPr>
          <w:sz w:val="18"/>
          <w:szCs w:val="18"/>
        </w:rPr>
        <w:t xml:space="preserve">impairment</w:t>
      </w:r>
      <w:r>
        <w:rPr>
          <w:sz w:val="18"/>
          <w:szCs w:val="18"/>
        </w:rPr>
        <w:t xml:space="preserve">      </w:t>
      </w:r>
      <w:r>
        <w:rPr>
          <w:u w:val="single"/>
          <w:sz w:val="18"/>
          <w:szCs w:val="18"/>
        </w:rPr>
        <w:t xml:space="preserve">        </w:t>
      </w:r>
    </w:p>
    <w:p>
      <w:pPr>
        <w:spacing w:before="24" w:after="24"/>
        <w:ind w:left="300" w:hanging="300"/>
      </w:pPr>
      <w:r>
        <w:rPr>
          <w:b/>
          <w:bCs/>
          <w:color w:val="353A7C"/>
          <w:sz w:val="18"/>
          <w:szCs w:val="18"/>
        </w:rPr>
        <w:t xml:space="preserve">23.  </w:t>
      </w:r>
      <w:r>
        <w:rPr>
          <w:sz w:val="18"/>
          <w:szCs w:val="18"/>
        </w:rPr>
        <w:t xml:space="preserve">revenue expenditure</w:t>
      </w:r>
      <w:r>
        <w:rPr>
          <w:sz w:val="18"/>
          <w:szCs w:val="18"/>
        </w:rPr>
        <w:t xml:space="preserve">      </w:t>
      </w:r>
      <w:r>
        <w:rPr>
          <w:u w:val="single"/>
          <w:sz w:val="18"/>
          <w:szCs w:val="18"/>
        </w:rPr>
        <w:t xml:space="preserve">        </w:t>
      </w:r>
    </w:p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D3F7E"/>
                <w:sz w:val="17"/>
                <w:szCs w:val="17"/>
              </w:rPr>
              <w:t xml:space="preserve">APPLY</w:t>
            </w:r>
          </w:p>
        </w:tc>
      </w:tr>
    </w:tbl>
    <w:p>
      <w:pPr>
        <w:pBdr>
          <w:top w:val="single" w:sz="6" w:space="1" w:color="6D3F7E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24.  </w:t>
      </w:r>
      <w:r>
        <w:rPr>
          <w:sz w:val="19"/>
          <w:szCs w:val="19"/>
        </w:rPr>
        <w:t xml:space="preserve">Use the capitalized interest example in Section 10.1. How much interest does Orontes capitalize (USD 000)?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150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120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2,000</w:t>
            </w:r>
          </w:p>
        </w:tc>
      </w:tr>
    </w:tbl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25.  </w:t>
      </w:r>
      <w:r>
        <w:rPr>
          <w:sz w:val="19"/>
          <w:szCs w:val="19"/>
        </w:rPr>
        <w:t xml:space="preserve">Use the change-in-estimate example. What is the new annual straight-line depreciation (whole USD)?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172,500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210,000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185,000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780,000</w:t>
            </w:r>
          </w:p>
        </w:tc>
      </w:tr>
    </w:tbl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26.  </w:t>
      </w:r>
      <w:r>
        <w:rPr>
          <w:sz w:val="19"/>
          <w:szCs w:val="19"/>
        </w:rPr>
        <w:t xml:space="preserve">Under group depreciation, what happens when one asset in the group is retired?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A gain or loss is recognized on that asset.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The group is re-depreciated.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No gain or loss is recognized.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The group rate is restated for prior years.</w:t>
      </w:r>
    </w:p>
    <w:tbl>
      <w:tblPr>
        <w:tblW w:type="pct" w:w="100%"/>
        <w:tblLayout w:type="fixed"/>
        <w:tblBorders>
          <w:top w:val="single" w:color="C0483F" w:sz="12"/>
          <w:left w:val="single" w:color="C0483F" w:sz="12"/>
          <w:bottom w:val="single" w:color="C0483F" w:sz="12"/>
          <w:right w:val="single" w:color="C0483F" w:sz="12"/>
          <w:insideH w:val="single" w:color="C0483F" w:sz="12"/>
          <w:insideV w:val="single" w:color="C0483F" w:sz="12"/>
        </w:tblBorders>
      </w:tblPr>
      <w:tblGrid>
        <w:gridCol w:w="9600"/>
      </w:tblGrid>
      <w:tr>
        <w:tc>
          <w:tcPr>
            <w:tcW w:type="pct" w:w="5000"/>
            <w:shd w:fill="FBF0E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50" w:after="24"/>
            </w:pPr>
            <w:r>
              <w:rPr>
                <w:b/>
                <w:bCs/>
                <w:color w:val="C0483F"/>
                <w:sz w:val="16"/>
                <w:szCs w:val="16"/>
              </w:rPr>
              <w:t xml:space="preserve">CHECKPOINT  </w:t>
            </w:r>
            <w:r>
              <w:rPr>
                <w:b/>
                <w:bCs/>
                <w:color w:val="353A7C"/>
                <w:sz w:val="19"/>
                <w:szCs w:val="19"/>
              </w:rPr>
              <w:t xml:space="preserve">27.  </w:t>
            </w:r>
            <w:r>
              <w:rPr>
                <w:sz w:val="19"/>
                <w:szCs w:val="19"/>
              </w:rPr>
              <w:t xml:space="preserve">What is the safest way to settle a disagreement about an answer on this sheet?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find the row of the model that decides it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take the answer of whoever is more confident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leave it until the lecturer says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choose the longer option</w:t>
            </w:r>
          </w:p>
          <w:p>
            <w:pPr>
              <w:spacing w:before="20" w:after="50"/>
            </w:pPr>
            <w:r>
              <w:rPr>
                <w:color w:val="C0483F"/>
                <w:sz w:val="17"/>
                <w:szCs w:val="17"/>
              </w:rPr>
              <w:t xml:space="preserve">If you got it wrong: redo the READ THE MODEL questions of cycle B.</w:t>
            </w:r>
          </w:p>
        </w:tc>
      </w:tr>
    </w:tbl>
    <w:p/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353A7C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FROM MEMORY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353A7C"/>
                <w:sz w:val="18"/>
                <w:szCs w:val="18"/>
              </w:rPr>
              <w:t xml:space="preserve">Close the earlier pages first.</w:t>
            </w:r>
          </w:p>
        </w:tc>
      </w:tr>
    </w:tbl>
    <w:p>
      <w:pPr>
        <w:spacing w:before="30" w:after="40"/>
      </w:pPr>
      <w:r>
        <w:rPr>
          <w:b/>
          <w:bCs/>
          <w:color w:val="353A7C"/>
          <w:sz w:val="19"/>
          <w:szCs w:val="19"/>
        </w:rPr>
        <w:t xml:space="preserve">28.  </w:t>
      </w:r>
      <w:r>
        <w:rPr>
          <w:sz w:val="19"/>
          <w:szCs w:val="19"/>
        </w:rPr>
        <w:t xml:space="preserve">Rebuild the figure from this handout. Label every part and fill in every box.</w:t>
      </w:r>
    </w:p>
    <w:p>
      <w:pPr>
        <w:spacing w:after="40" w:before="90"/>
        <w:jc w:val="center"/>
      </w:pPr>
      <w:r>
        <w:drawing>
          <wp:inline distT="0" distB="0" distL="0" distR="0">
            <wp:extent cx="5734050" cy="1403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40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1F7A6A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TEACH IT BACK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1F7A6A"/>
                <w:sz w:val="18"/>
                <w:szCs w:val="18"/>
              </w:rPr>
              <w:t xml:space="preserve">Write it for a classmate who missed this session — not for the marker.</w:t>
            </w:r>
          </w:p>
        </w:tc>
      </w:tr>
    </w:tbl>
    <w:tbl>
      <w:tblPr>
        <w:tblW w:type="pct" w:w="100%"/>
        <w:tblLayout w:type="fixed"/>
        <w:tblBorders>
          <w:top w:val="single" w:color="1F7A6A" w:sz="10"/>
          <w:left w:val="single" w:color="1F7A6A" w:sz="10"/>
          <w:bottom w:val="single" w:color="1F7A6A" w:sz="10"/>
          <w:right w:val="single" w:color="1F7A6A" w:sz="10"/>
          <w:insideH w:val="single" w:color="1F7A6A" w:sz="10"/>
          <w:insideV w:val="single" w:color="1F7A6A" w:sz="10"/>
        </w:tblBorders>
      </w:tblPr>
      <w:tblGrid>
        <w:gridCol w:w="9600"/>
      </w:tblGrid>
      <w:tr>
        <w:tc>
          <w:tcPr>
            <w:tcW w:type="pct" w:w="5000"/>
            <w:shd w:fill="EEF6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24"/>
            </w:pPr>
            <w:r>
              <w:rPr>
                <w:b/>
                <w:bCs/>
                <w:color w:val="1F7A6A"/>
                <w:sz w:val="19"/>
                <w:szCs w:val="19"/>
              </w:rPr>
              <w:t xml:space="preserve">29.  </w:t>
            </w:r>
            <w:r>
              <w:rPr>
                <w:sz w:val="19"/>
                <w:szCs w:val="19"/>
              </w:rPr>
              <w:t xml:space="preserve">In three or four sentences, write what this section settles and the one rule a reader has to take away.</w:t>
            </w:r>
          </w:p>
          <w:p>
            <w:pPr>
              <w:spacing w:after="36"/>
            </w:pPr>
            <w:r>
              <w:rPr>
                <w:color w:val="6B7280"/>
                <w:sz w:val="16"/>
                <w:szCs w:val="16"/>
              </w:rPr>
              <w:t xml:space="preserve">every one of these words must appear:  </w:t>
            </w:r>
            <w:r>
              <w:rPr>
                <w:b/>
                <w:bCs/>
                <w:color w:val="1F7A6A"/>
                <w:sz w:val="16"/>
                <w:szCs w:val="16"/>
              </w:rPr>
              <w:t xml:space="preserve">property, plant and equipment (PP&amp;E)  ·  impairment  ·  revenue expenditure  ·  units-of-production method</w:t>
            </w:r>
          </w:p>
        </w:tc>
      </w:tr>
    </w:tbl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/>
    <w:p>
      <w:pPr>
        <w:sectPr>
          <w:headerReference w:type="default" r:id="rIdHdr1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10.2</w:t>
      </w:r>
    </w:p>
    <w:p>
      <w:pPr>
        <w:spacing w:after="8"/>
      </w:pPr>
      <w:r>
        <w:rPr>
          <w:color w:val="23265A"/>
          <w:sz w:val="22"/>
          <w:szCs w:val="22"/>
        </w:rPr>
        <w:t xml:space="preserve">Depreciation methods and their effects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section 10.2 of the book</w:t>
      </w:r>
    </w:p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9600"/>
      </w:tblGrid>
      <w:tr>
        <w:tc>
          <w:tcPr>
            <w:tcW w:type="pct" w:w="5000"/>
            <w:shd w:fill="353A7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50" w:after="16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Before you start</w:t>
            </w:r>
          </w:p>
          <w:p>
            <w:pPr>
              <w:spacing w:before="0" w:after="50"/>
            </w:pPr>
            <w:r>
              <w:rPr>
                <w:color w:val="E8EAF6"/>
                <w:sz w:val="16"/>
                <w:szCs w:val="16"/>
              </w:rPr>
              <w:t xml:space="preserve">Three summaries of this handout, in the book’s own words. Read all three first: together they are the whole session. Then fill the gaps, guessing where you have to.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1952"/>
        <w:gridCol w:w="2656"/>
        <w:gridCol w:w="4992"/>
      </w:tblGrid>
      <w:tr>
        <w:tc>
          <w:tcPr>
            <w:tcW w:type="pct" w:w="5000"/>
            <w:gridSpan w:val="3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What this handout settles, cycle by cycle</w:t>
            </w:r>
          </w:p>
        </w:tc>
      </w:tr>
      <w:tr>
        <w:tc>
          <w:tcPr>
            <w:tcW w:type="pct" w:w="1017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In this handout</w:t>
            </w:r>
          </w:p>
        </w:tc>
        <w:tc>
          <w:tcPr>
            <w:tcW w:type="pct" w:w="1383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What you will read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How you check it</w:t>
            </w:r>
          </w:p>
        </w:tc>
      </w:tr>
      <w:tr>
        <w:tc>
          <w:tcPr>
            <w:tcW w:type="pct" w:w="1017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Depreciation methods and their effects</w:t>
            </w:r>
          </w:p>
        </w:tc>
        <w:tc>
          <w:tcPr>
            <w:tcW w:type="pct" w:w="1383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 figure to read · Effect · the book’s own rule, gapped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The bottling line's wear depends on machine hours, and its hours fall each year. Which method gives the BEST matching of expense with use?</w:t>
            </w:r>
          </w:p>
        </w:tc>
      </w:tr>
      <w:tr>
        <w:tc>
          <w:tcPr>
            <w:tcW w:type="pct" w:w="1017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The words this section uses precisely</w:t>
            </w:r>
          </w:p>
        </w:tc>
        <w:tc>
          <w:tcPr>
            <w:tcW w:type="pct" w:w="1383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The English the exam uses, and what it translates</w:t>
            </w:r>
          </w:p>
        </w:tc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What is the safest way to settle a disagreement about an answer on this sheet?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992"/>
        <w:gridCol w:w="4608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Words this handout uses precisely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Words this handout uses precisely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tick it if you could already use it in a sentence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depreciable base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recoverability test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capitalized interest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change in accounting estimate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reporting unit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</w:tbl>
    <w:p/>
    <w:p>
      <w:pPr>
        <w:spacing w:before="40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1.  </w:t>
      </w:r>
      <w:r>
        <w:rPr>
          <w:sz w:val="19"/>
          <w:szCs w:val="19"/>
        </w:rPr>
        <w:t xml:space="preserve">Where the section starts — Fill every gap. The list holds more words than there are gaps, so one or two of them are not used.</w:t>
      </w:r>
    </w:p>
    <w:p>
      <w:pPr>
        <w:spacing w:before="20" w:after="26"/>
        <w:ind w:left="300"/>
      </w:pPr>
      <w:r>
        <w:rPr>
          <w:color w:val="6B7280"/>
          <w:sz w:val="16"/>
          <w:szCs w:val="16"/>
        </w:rPr>
        <w:t xml:space="preserve">choose from:  </w:t>
      </w:r>
      <w:r>
        <w:rPr>
          <w:b/>
          <w:bCs/>
          <w:color w:val="353A7C"/>
          <w:sz w:val="16"/>
          <w:szCs w:val="16"/>
        </w:rPr>
        <w:t xml:space="preserve">salvage value   ·   Straight-line method   ·   depreciable base   ·   reporting unit   ·   capitalized interest   ·   Double-declining-balance method   ·   useful life</w:t>
      </w:r>
    </w:p>
    <w:p>
      <w:pPr>
        <w:spacing w:before="36" w:after="36"/>
        <w:ind w:left="300"/>
      </w:pPr>
      <w:r>
        <w:rPr>
          <w:sz w:val="19"/>
          <w:szCs w:val="19"/>
        </w:rPr>
        <w:t xml:space="preserve">Depreciation spreads the </w:t>
      </w:r>
      <w:r>
        <w:rPr>
          <w:u w:val="single"/>
          <w:sz w:val="19"/>
          <w:szCs w:val="19"/>
        </w:rPr>
        <w:t xml:space="preserve">                  </w:t>
      </w:r>
      <w:r>
        <w:rPr>
          <w:sz w:val="19"/>
          <w:szCs w:val="19"/>
        </w:rPr>
        <w:t xml:space="preserve">, cost minus </w:t>
      </w:r>
      <w:r>
        <w:rPr>
          <w:u w:val="single"/>
          <w:sz w:val="19"/>
          <w:szCs w:val="19"/>
        </w:rPr>
        <w:t xml:space="preserve">               </w:t>
      </w:r>
      <w:r>
        <w:rPr>
          <w:sz w:val="19"/>
          <w:szCs w:val="19"/>
        </w:rPr>
        <w:t xml:space="preserve">, over the </w:t>
      </w:r>
      <w:r>
        <w:rPr>
          <w:u w:val="single"/>
          <w:sz w:val="19"/>
          <w:szCs w:val="19"/>
        </w:rPr>
        <w:t xml:space="preserve">             </w:t>
      </w:r>
      <w:r>
        <w:rPr>
          <w:sz w:val="19"/>
          <w:szCs w:val="19"/>
        </w:rPr>
        <w:t xml:space="preserve"> in a systematic and rational way. </w:t>
      </w:r>
      <w:r>
        <w:rPr>
          <w:u w:val="single"/>
          <w:sz w:val="19"/>
          <w:szCs w:val="19"/>
        </w:rPr>
        <w:t xml:space="preserve">                      </w:t>
      </w:r>
      <w:r>
        <w:rPr>
          <w:sz w:val="19"/>
          <w:szCs w:val="19"/>
        </w:rPr>
        <w:t xml:space="preserve">: the same amount each year, depreciable base ÷ useful life. </w:t>
      </w:r>
      <w:r>
        <w:rPr>
          <w:u w:val="single"/>
          <w:sz w:val="19"/>
          <w:szCs w:val="19"/>
        </w:rPr>
        <w:t xml:space="preserve">                                 </w:t>
      </w:r>
      <w:r>
        <w:rPr>
          <w:sz w:val="19"/>
          <w:szCs w:val="19"/>
        </w:rPr>
        <w:t xml:space="preserve">: twice the straight-line rate, applied to the beginning book value.</w:t>
      </w:r>
    </w:p>
    <w:p>
      <w:pPr>
        <w:spacing w:before="40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2.  </w:t>
      </w:r>
      <w:r>
        <w:rPr>
          <w:sz w:val="19"/>
          <w:szCs w:val="19"/>
        </w:rPr>
        <w:t xml:space="preserve">What it settles in the middle — Fill every gap. The list holds more words than there are gaps, so one or two of them are not used.</w:t>
      </w:r>
    </w:p>
    <w:p>
      <w:pPr>
        <w:spacing w:before="20" w:after="26"/>
        <w:ind w:left="300"/>
      </w:pPr>
      <w:r>
        <w:rPr>
          <w:color w:val="6B7280"/>
          <w:sz w:val="16"/>
          <w:szCs w:val="16"/>
        </w:rPr>
        <w:t xml:space="preserve">choose from:  </w:t>
      </w:r>
      <w:r>
        <w:rPr>
          <w:b/>
          <w:bCs/>
          <w:color w:val="353A7C"/>
          <w:sz w:val="16"/>
          <w:szCs w:val="16"/>
        </w:rPr>
        <w:t xml:space="preserve">useful life   ·   change in accounting estimate   ·   reporting unit   ·   depreciable base   ·   salvage value</w:t>
      </w:r>
    </w:p>
    <w:p>
      <w:pPr>
        <w:spacing w:before="36" w:after="36"/>
        <w:ind w:left="300"/>
      </w:pPr>
      <w:r>
        <w:rPr>
          <w:sz w:val="19"/>
          <w:szCs w:val="19"/>
        </w:rPr>
        <w:t xml:space="preserve">Depreciation expense each year for the bottling line under four methods. Depreciation is not a cash flow, so the method changes cash only through income taxes, and U.S. A new </w:t>
      </w:r>
      <w:r>
        <w:rPr>
          <w:u w:val="single"/>
          <w:sz w:val="19"/>
          <w:szCs w:val="19"/>
        </w:rPr>
        <w:t xml:space="preserve">             </w:t>
      </w:r>
      <w:r>
        <w:rPr>
          <w:sz w:val="19"/>
          <w:szCs w:val="19"/>
        </w:rPr>
        <w:t xml:space="preserve"> or </w:t>
      </w:r>
      <w:r>
        <w:rPr>
          <w:u w:val="single"/>
          <w:sz w:val="19"/>
          <w:szCs w:val="19"/>
        </w:rPr>
        <w:t xml:space="preserve">               </w:t>
      </w:r>
      <w:r>
        <w:rPr>
          <w:sz w:val="19"/>
          <w:szCs w:val="19"/>
        </w:rPr>
        <w:t xml:space="preserve"> is a </w:t>
      </w:r>
      <w:r>
        <w:rPr>
          <w:u w:val="single"/>
          <w:sz w:val="19"/>
          <w:szCs w:val="19"/>
        </w:rPr>
        <w:t xml:space="preserve">                               </w:t>
      </w:r>
      <w:r>
        <w:rPr>
          <w:sz w:val="19"/>
          <w:szCs w:val="19"/>
        </w:rPr>
        <w:t xml:space="preserve">.</w:t>
      </w:r>
    </w:p>
    <w:p>
      <w:pPr>
        <w:spacing w:before="40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3.  </w:t>
      </w:r>
      <w:r>
        <w:rPr>
          <w:sz w:val="19"/>
          <w:szCs w:val="19"/>
        </w:rPr>
        <w:t xml:space="preserve">Where it ends — Fill every gap. The list holds more words than there are gaps, so one or two of them are not used.</w:t>
      </w:r>
    </w:p>
    <w:p>
      <w:pPr>
        <w:spacing w:before="20" w:after="26"/>
        <w:ind w:left="300"/>
      </w:pPr>
      <w:r>
        <w:rPr>
          <w:color w:val="6B7280"/>
          <w:sz w:val="16"/>
          <w:szCs w:val="16"/>
        </w:rPr>
        <w:t xml:space="preserve">choose from:  </w:t>
      </w:r>
      <w:r>
        <w:rPr>
          <w:b/>
          <w:bCs/>
          <w:color w:val="353A7C"/>
          <w:sz w:val="16"/>
          <w:szCs w:val="16"/>
        </w:rPr>
        <w:t xml:space="preserve">reporting unit   ·   depreciable base   ·   useful life   ·   salvage value</w:t>
      </w:r>
    </w:p>
    <w:p>
      <w:pPr>
        <w:spacing w:before="36" w:after="36"/>
        <w:ind w:left="300"/>
      </w:pPr>
      <w:r>
        <w:rPr>
          <w:sz w:val="19"/>
          <w:szCs w:val="19"/>
        </w:rPr>
        <w:t xml:space="preserve">GAAP allows this but does not require it. IAS 16 also allows the revaluation model, with increases going to a revaluation surplus in OCI. SC10-4 After two years, Orontes revises the </w:t>
      </w:r>
      <w:r>
        <w:rPr>
          <w:u w:val="single"/>
          <w:sz w:val="19"/>
          <w:szCs w:val="19"/>
        </w:rPr>
        <w:t xml:space="preserve">             </w:t>
      </w:r>
      <w:r>
        <w:rPr>
          <w:sz w:val="19"/>
          <w:szCs w:val="19"/>
        </w:rPr>
        <w:t xml:space="preserve"> and </w:t>
      </w:r>
      <w:r>
        <w:rPr>
          <w:u w:val="single"/>
          <w:sz w:val="19"/>
          <w:szCs w:val="19"/>
        </w:rPr>
        <w:t xml:space="preserve">               </w:t>
      </w:r>
      <w:r>
        <w:rPr>
          <w:sz w:val="19"/>
          <w:szCs w:val="19"/>
        </w:rPr>
        <w:t xml:space="preserve"> of an asset.</w:t>
      </w:r>
    </w:p>
    <w:p>
      <w:pPr>
        <w:pageBreakBefore w:val="true"/>
        <w:spacing w:after="0"/>
      </w:pPr>
      <w:r>
        <w:rPr>
          <w:sz w:val="2"/>
          <w:szCs w:val="2"/>
        </w:rPr>
        <w:t xml:space="preserve"> </w:t>
      </w:r>
    </w:p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1056"/>
        <w:gridCol w:w="8544"/>
      </w:tblGrid>
      <w:tr>
        <w:tc>
          <w:tcPr>
            <w:tcW w:type="pct" w:w="550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CYCLE A</w:t>
            </w:r>
          </w:p>
        </w:tc>
        <w:tc>
          <w:tcPr>
            <w:tcW w:type="pct" w:w="4450"/>
            <w:shd w:fill="F2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353A7C"/>
                <w:sz w:val="22"/>
                <w:szCs w:val="22"/>
              </w:rPr>
              <w:t xml:space="preserve">Depreciation methods and their effects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ORIENT</w:t>
            </w:r>
            <w:r>
              <w:rPr>
                <w:color w:val="6B7280"/>
                <w:sz w:val="18"/>
                <w:szCs w:val="18"/>
              </w:rPr>
              <w:t xml:space="preserve">      One claim. Decide now; you will check it in a moment.</w:t>
            </w:r>
          </w:p>
        </w:tc>
      </w:tr>
    </w:tbl>
    <w:p>
      <w:pPr>
        <w:pBdr>
          <w:top w:val="single" w:sz="6" w:space="1" w:color="6B7280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4.  </w:t>
      </w:r>
      <w:r>
        <w:rPr>
          <w:sz w:val="19"/>
          <w:szCs w:val="19"/>
        </w:rPr>
        <w:t xml:space="preserve">The book gives the straight-line of Expense in early years as “Lowest (even)”.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MODEL</w:t>
            </w:r>
            <w:r>
              <w:rPr>
                <w:color w:val="6B7280"/>
                <w:sz w:val="18"/>
                <w:szCs w:val="18"/>
              </w:rPr>
              <w:t xml:space="preserve">      Read it before you answer anything below it.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after="40" w:before="90"/>
        <w:jc w:val="center"/>
      </w:pPr>
      <w:r>
        <w:drawing>
          <wp:inline distT="0" distB="0" distL="0" distR="0">
            <wp:extent cx="5734050" cy="1735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7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312"/>
        <w:gridCol w:w="1580"/>
        <w:gridCol w:w="1181"/>
        <w:gridCol w:w="1008"/>
        <w:gridCol w:w="1517"/>
      </w:tblGrid>
      <w:tr>
        <w:tc>
          <w:tcPr>
            <w:tcW w:type="pct" w:w="5000"/>
            <w:gridSpan w:val="5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Effect — the book’s own table</w:t>
            </w:r>
          </w:p>
        </w:tc>
      </w:tr>
      <w:tr>
        <w:tc>
          <w:tcPr>
            <w:tcW w:type="pct" w:w="2246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Effect</w:t>
            </w:r>
          </w:p>
        </w:tc>
        <w:tc>
          <w:tcPr>
            <w:tcW w:type="pct" w:w="823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Straight-line</w:t>
            </w:r>
          </w:p>
        </w:tc>
        <w:tc>
          <w:tcPr>
            <w:tcW w:type="pct" w:w="615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Double-declining</w:t>
            </w:r>
          </w:p>
        </w:tc>
        <w:tc>
          <w:tcPr>
            <w:tcW w:type="pct" w:w="525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SYD</w:t>
            </w:r>
          </w:p>
        </w:tc>
        <w:tc>
          <w:tcPr>
            <w:tcW w:type="pct" w:w="79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Units of production</w:t>
            </w:r>
          </w:p>
        </w:tc>
      </w:tr>
      <w:tr>
        <w:tc>
          <w:tcPr>
            <w:tcW w:type="pct" w:w="2246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Expense in early years</w:t>
            </w:r>
          </w:p>
        </w:tc>
        <w:tc>
          <w:tcPr>
            <w:tcW w:type="pct" w:w="823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Lowest (even)</w:t>
            </w:r>
          </w:p>
        </w:tc>
        <w:tc>
          <w:tcPr>
            <w:tcW w:type="pct" w:w="615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Highest</w:t>
            </w:r>
          </w:p>
        </w:tc>
        <w:tc>
          <w:tcPr>
            <w:tcW w:type="pct" w:w="525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High</w:t>
            </w:r>
          </w:p>
        </w:tc>
        <w:tc>
          <w:tcPr>
            <w:tcW w:type="pct" w:w="79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Follows use</w:t>
            </w:r>
          </w:p>
        </w:tc>
      </w:tr>
      <w:tr>
        <w:tc>
          <w:tcPr>
            <w:tcW w:type="pct" w:w="2246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Net income and ROA in early years</w:t>
            </w:r>
          </w:p>
        </w:tc>
        <w:tc>
          <w:tcPr>
            <w:tcW w:type="pct" w:w="823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Highest</w:t>
            </w:r>
          </w:p>
        </w:tc>
        <w:tc>
          <w:tcPr>
            <w:tcW w:type="pct" w:w="615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Lowest</w:t>
            </w:r>
          </w:p>
        </w:tc>
        <w:tc>
          <w:tcPr>
            <w:tcW w:type="pct" w:w="525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Low</w:t>
            </w:r>
          </w:p>
        </w:tc>
        <w:tc>
          <w:tcPr>
            <w:tcW w:type="pct" w:w="79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Follows use</w:t>
            </w:r>
          </w:p>
        </w:tc>
      </w:tr>
      <w:tr>
        <w:tc>
          <w:tcPr>
            <w:tcW w:type="pct" w:w="2246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Carrying amount in early years</w:t>
            </w:r>
          </w:p>
        </w:tc>
        <w:tc>
          <w:tcPr>
            <w:tcW w:type="pct" w:w="823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Highest</w:t>
            </w:r>
          </w:p>
        </w:tc>
        <w:tc>
          <w:tcPr>
            <w:tcW w:type="pct" w:w="615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Lowest</w:t>
            </w:r>
          </w:p>
        </w:tc>
        <w:tc>
          <w:tcPr>
            <w:tcW w:type="pct" w:w="525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Low</w:t>
            </w:r>
          </w:p>
        </w:tc>
        <w:tc>
          <w:tcPr>
            <w:tcW w:type="pct" w:w="79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Follows use</w:t>
            </w:r>
          </w:p>
        </w:tc>
      </w:tr>
      <w:tr>
        <w:tc>
          <w:tcPr>
            <w:tcW w:type="pct" w:w="2246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Total expense over the life</w:t>
            </w:r>
          </w:p>
        </w:tc>
        <w:tc>
          <w:tcPr>
            <w:tcW w:type="pct" w:w="823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Same</w:t>
            </w:r>
          </w:p>
        </w:tc>
        <w:tc>
          <w:tcPr>
            <w:tcW w:type="pct" w:w="615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Same</w:t>
            </w:r>
          </w:p>
        </w:tc>
        <w:tc>
          <w:tcPr>
            <w:tcW w:type="pct" w:w="525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Same</w:t>
            </w:r>
          </w:p>
        </w:tc>
        <w:tc>
          <w:tcPr>
            <w:tcW w:type="pct" w:w="79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Same</w:t>
            </w:r>
          </w:p>
        </w:tc>
      </w:tr>
      <w:tr>
        <w:tc>
          <w:tcPr>
            <w:tcW w:type="pct" w:w="2246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Cash flow (before tax effects)</w:t>
            </w:r>
          </w:p>
        </w:tc>
        <w:tc>
          <w:tcPr>
            <w:tcW w:type="pct" w:w="823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No effect</w:t>
            </w:r>
          </w:p>
        </w:tc>
        <w:tc>
          <w:tcPr>
            <w:tcW w:type="pct" w:w="615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No effect</w:t>
            </w:r>
          </w:p>
        </w:tc>
        <w:tc>
          <w:tcPr>
            <w:tcW w:type="pct" w:w="525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No effect</w:t>
            </w:r>
          </w:p>
        </w:tc>
        <w:tc>
          <w:tcPr>
            <w:tcW w:type="pct" w:w="79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No effect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READ THE MODEL</w:t>
            </w:r>
            <w:r>
              <w:rPr>
                <w:color w:val="6B7280"/>
                <w:sz w:val="18"/>
                <w:szCs w:val="18"/>
              </w:rPr>
              <w:t xml:space="preserve">      Every answer is printed above. Find it, do not recall it.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pageBreakBefore w:val="true"/>
        <w:spacing w:after="0"/>
      </w:pPr>
      <w:r>
        <w:rPr>
          <w:sz w:val="2"/>
        </w:rPr>
        <w:t xml:space="preserve"> 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5.  </w:t>
      </w:r>
      <w:r>
        <w:rPr>
          <w:sz w:val="19"/>
          <w:szCs w:val="19"/>
        </w:rPr>
        <w:t xml:space="preserve">Which straight-line does the book give for Expense in early years?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Highest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Lowest (even)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Same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No effect</w:t>
            </w:r>
          </w:p>
        </w:tc>
      </w:tr>
    </w:tbl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6.  </w:t>
      </w:r>
      <w:r>
        <w:rPr>
          <w:sz w:val="19"/>
          <w:szCs w:val="19"/>
        </w:rPr>
        <w:t xml:space="preserve">Which straight-line does the book give for Net income and ROA in early years?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No effect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Highest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Lowest (even)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Same</w:t>
            </w:r>
          </w:p>
        </w:tc>
      </w:tr>
    </w:tbl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7.  </w:t>
      </w:r>
      <w:r>
        <w:rPr>
          <w:sz w:val="19"/>
          <w:szCs w:val="19"/>
        </w:rPr>
        <w:t xml:space="preserve">Which straight-line does the book give for Carrying amount in early years?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Highest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Same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Lowest (even)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No effect</w:t>
            </w:r>
          </w:p>
        </w:tc>
      </w:tr>
    </w:tbl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8.  </w:t>
      </w:r>
      <w:r>
        <w:rPr>
          <w:sz w:val="19"/>
          <w:szCs w:val="19"/>
        </w:rPr>
        <w:t xml:space="preserve">Which straight-line does the book give for Total expense over the life?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Highest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Lowest (even)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No effect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Same</w:t>
            </w:r>
          </w:p>
        </w:tc>
      </w:tr>
    </w:tbl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9.  </w:t>
      </w:r>
      <w:r>
        <w:rPr>
          <w:sz w:val="19"/>
          <w:szCs w:val="19"/>
        </w:rPr>
        <w:t xml:space="preserve">The book gives the units of production of Expense in early years as “Follows use”.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10.  </w:t>
      </w:r>
      <w:r>
        <w:rPr>
          <w:sz w:val="19"/>
          <w:szCs w:val="19"/>
        </w:rPr>
        <w:t xml:space="preserve">The book gives the units of production of Net income and ROA in early years as “Same”.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2B6CB0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SORT THEM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2B6CB0"/>
                <w:sz w:val="18"/>
                <w:szCs w:val="18"/>
              </w:rPr>
              <w:t xml:space="preserve">Write each one under its straight-line. Every item belongs to exactly one group.</w:t>
            </w:r>
          </w:p>
        </w:tc>
      </w:tr>
    </w:tbl>
    <w:p>
      <w:pPr>
        <w:spacing w:before="20" w:after="40"/>
      </w:pPr>
      <w:r>
        <w:rPr>
          <w:color w:val="6B7280"/>
          <w:sz w:val="16"/>
          <w:szCs w:val="16"/>
        </w:rPr>
        <w:t xml:space="preserve">the items:  </w:t>
      </w:r>
      <w:r>
        <w:rPr>
          <w:sz w:val="17"/>
          <w:szCs w:val="17"/>
        </w:rPr>
        <w:t xml:space="preserve">Expense in early years   ·   Net income and ROA in early years   ·   Carrying amount in early years   ·   Total expense over the life   ·   Cash flow (before tax effects)</w:t>
      </w:r>
    </w:p>
    <w:tbl>
      <w:tblPr>
        <w:tblW w:type="pct" w:w="100%"/>
        <w:tblLayout w:type="fixed"/>
        <w:tblBorders>
          <w:top w:val="single" w:color="2B6CB0" w:sz="6"/>
          <w:left w:val="single" w:color="2B6CB0" w:sz="6"/>
          <w:bottom w:val="single" w:color="2B6CB0" w:sz="6"/>
          <w:right w:val="single" w:color="2B6CB0" w:sz="6"/>
          <w:insideH w:val="single" w:color="2B6CB0" w:sz="6"/>
          <w:insideV w:val="single" w:color="2B6CB0" w:sz="6"/>
        </w:tblBorders>
      </w:tblPr>
      <w:tblGrid>
        <w:gridCol w:w="2400"/>
        <w:gridCol w:w="2400"/>
        <w:gridCol w:w="2400"/>
        <w:gridCol w:w="2400"/>
      </w:tblGrid>
      <w:tr>
        <w:tc>
          <w:tcPr>
            <w:tcW w:type="pct" w:w="1250"/>
            <w:shd w:fill="2B6CB0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32" w:after="32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Highest</w:t>
            </w:r>
          </w:p>
        </w:tc>
        <w:tc>
          <w:tcPr>
            <w:tcW w:type="pct" w:w="1250"/>
            <w:shd w:fill="2B6CB0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32" w:after="32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Lowest (even)</w:t>
            </w:r>
          </w:p>
        </w:tc>
        <w:tc>
          <w:tcPr>
            <w:tcW w:type="pct" w:w="1250"/>
            <w:shd w:fill="2B6CB0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32" w:after="32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No effect</w:t>
            </w:r>
          </w:p>
        </w:tc>
        <w:tc>
          <w:tcPr>
            <w:tcW w:type="pct" w:w="1250"/>
            <w:shd w:fill="2B6CB0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32" w:after="32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Same</w:t>
            </w:r>
          </w:p>
        </w:tc>
      </w:tr>
      <w:tr>
        <w:tc>
          <w:tcPr>
            <w:tcW w:type="pct" w:w="12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54" w:after="54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before="54" w:after="54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before="54" w:after="54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2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54" w:after="54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before="54" w:after="54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before="54" w:after="54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2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54" w:after="54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before="54" w:after="54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before="54" w:after="54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2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54" w:after="54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before="54" w:after="54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before="54" w:after="54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/>
    <w:p>
      <w:pPr>
        <w:spacing w:before="40" w:after="24"/>
      </w:pPr>
      <w:r>
        <w:rPr>
          <w:sz w:val="19"/>
          <w:szCs w:val="19"/>
        </w:rPr>
        <w:t xml:space="preserve">Complete every empty cell. The first full row shows the pattern.</w:t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992"/>
        <w:gridCol w:w="1495"/>
        <w:gridCol w:w="939"/>
        <w:gridCol w:w="864"/>
        <w:gridCol w:w="1310"/>
      </w:tblGrid>
      <w:tr>
        <w:tc>
          <w:tcPr>
            <w:tcW w:type="pct" w:w="2600"/>
            <w:shd w:fill="353A7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34" w:after="34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Effect</w:t>
            </w:r>
          </w:p>
        </w:tc>
        <w:tc>
          <w:tcPr>
            <w:tcW w:type="pct" w:w="778"/>
            <w:shd w:fill="353A7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34" w:after="34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Straight-line</w:t>
            </w:r>
          </w:p>
        </w:tc>
        <w:tc>
          <w:tcPr>
            <w:tcW w:type="pct" w:w="489"/>
            <w:shd w:fill="353A7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34" w:after="34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Double-declining</w:t>
            </w:r>
          </w:p>
        </w:tc>
        <w:tc>
          <w:tcPr>
            <w:tcW w:type="pct" w:w="450"/>
            <w:shd w:fill="353A7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34" w:after="34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SYD</w:t>
            </w:r>
          </w:p>
        </w:tc>
        <w:tc>
          <w:tcPr>
            <w:tcW w:type="pct" w:w="682"/>
            <w:shd w:fill="353A7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34" w:after="34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Units of production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32" w:after="32"/>
            </w:pPr>
            <w:r>
              <w:rPr>
                <w:sz w:val="16"/>
                <w:szCs w:val="16"/>
              </w:rPr>
              <w:t xml:space="preserve">Expense in early years</w:t>
            </w:r>
          </w:p>
        </w:tc>
        <w:tc>
          <w:tcPr>
            <w:tcW w:type="pct" w:w="77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32" w:after="32"/>
            </w:pPr>
            <w:r>
              <w:rPr>
                <w:sz w:val="16"/>
                <w:szCs w:val="16"/>
              </w:rPr>
              <w:t xml:space="preserve">Lowest (even)</w:t>
            </w:r>
          </w:p>
        </w:tc>
        <w:tc>
          <w:tcPr>
            <w:tcW w:type="pct" w:w="489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32" w:after="32"/>
            </w:pPr>
            <w:r>
              <w:rPr>
                <w:sz w:val="16"/>
                <w:szCs w:val="16"/>
              </w:rPr>
              <w:t xml:space="preserve">Highest</w:t>
            </w:r>
          </w:p>
        </w:tc>
        <w:tc>
          <w:tcPr>
            <w:tcW w:type="pct" w:w="4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32" w:after="32"/>
            </w:pPr>
            <w:r>
              <w:rPr>
                <w:sz w:val="16"/>
                <w:szCs w:val="16"/>
              </w:rPr>
              <w:t xml:space="preserve">High</w:t>
            </w:r>
          </w:p>
        </w:tc>
        <w:tc>
          <w:tcPr>
            <w:tcW w:type="pct" w:w="682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32" w:after="32"/>
            </w:pPr>
            <w:r>
              <w:rPr>
                <w:sz w:val="16"/>
                <w:szCs w:val="16"/>
              </w:rPr>
              <w:t xml:space="preserve">Follows use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32" w:after="32"/>
            </w:pPr>
            <w:r>
              <w:rPr>
                <w:sz w:val="16"/>
                <w:szCs w:val="16"/>
              </w:rPr>
              <w:t xml:space="preserve">Net income and ROA in early years</w:t>
            </w:r>
          </w:p>
        </w:tc>
        <w:tc>
          <w:tcPr>
            <w:tcW w:type="pct" w:w="778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54" w:after="54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489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54" w:after="54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4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54" w:after="54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682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54" w:after="54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32" w:after="32"/>
            </w:pPr>
            <w:r>
              <w:rPr>
                <w:sz w:val="16"/>
                <w:szCs w:val="16"/>
              </w:rPr>
              <w:t xml:space="preserve">Carrying amount in early years</w:t>
            </w:r>
          </w:p>
        </w:tc>
        <w:tc>
          <w:tcPr>
            <w:tcW w:type="pct" w:w="778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54" w:after="54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489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54" w:after="54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4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54" w:after="54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682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54" w:after="54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32" w:after="32"/>
            </w:pPr>
            <w:r>
              <w:rPr>
                <w:sz w:val="16"/>
                <w:szCs w:val="16"/>
              </w:rPr>
              <w:t xml:space="preserve">Total expense over the life</w:t>
            </w:r>
          </w:p>
        </w:tc>
        <w:tc>
          <w:tcPr>
            <w:tcW w:type="pct" w:w="778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54" w:after="54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489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54" w:after="54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4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54" w:after="54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682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54" w:after="54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32" w:after="32"/>
            </w:pPr>
            <w:r>
              <w:rPr>
                <w:sz w:val="16"/>
                <w:szCs w:val="16"/>
              </w:rPr>
              <w:t xml:space="preserve">Cash flow (before tax effects)</w:t>
            </w:r>
          </w:p>
        </w:tc>
        <w:tc>
          <w:tcPr>
            <w:tcW w:type="pct" w:w="778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54" w:after="54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489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54" w:after="54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4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54" w:after="54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682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54" w:after="54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1F7A6A"/>
                <w:sz w:val="17"/>
                <w:szCs w:val="17"/>
              </w:rPr>
              <w:t xml:space="preserve">INVENT THE RULE</w:t>
            </w:r>
          </w:p>
        </w:tc>
      </w:tr>
    </w:tbl>
    <w:p>
      <w:pPr>
        <w:pBdr>
          <w:top w:val="single" w:sz="6" w:space="1" w:color="1F7A6A"/>
        </w:pBdr>
        <w:spacing w:after="30"/>
      </w:pPr>
      <w:r>
        <w:rPr>
          <w:sz w:val="2"/>
          <w:szCs w:val="2"/>
        </w:rPr>
        <w:t xml:space="preserve"/>
      </w:r>
    </w:p>
    <w:tbl>
      <w:tblPr>
        <w:tblW w:type="pct" w:w="100%"/>
        <w:tblLayout w:type="fixed"/>
        <w:tblBorders>
          <w:top w:val="single" w:color="1F7A6A" w:sz="10"/>
          <w:left w:val="single" w:color="1F7A6A" w:sz="10"/>
          <w:bottom w:val="single" w:color="1F7A6A" w:sz="10"/>
          <w:right w:val="single" w:color="1F7A6A" w:sz="10"/>
          <w:insideH w:val="single" w:color="1F7A6A" w:sz="10"/>
          <w:insideV w:val="single" w:color="1F7A6A" w:sz="10"/>
        </w:tblBorders>
      </w:tblPr>
      <w:tblGrid>
        <w:gridCol w:w="9600"/>
      </w:tblGrid>
      <w:tr>
        <w:tc>
          <w:tcPr>
            <w:tcW w:type="pct" w:w="5000"/>
            <w:shd w:fill="EEF6F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46" w:after="26"/>
            </w:pPr>
            <w:r>
              <w:rPr>
                <w:b/>
                <w:bCs/>
                <w:color w:val="1F7A6A"/>
                <w:sz w:val="19"/>
                <w:szCs w:val="19"/>
              </w:rPr>
              <w:t xml:space="preserve">19.  </w:t>
            </w:r>
            <w:r>
              <w:rPr>
                <w:sz w:val="19"/>
                <w:szCs w:val="19"/>
              </w:rPr>
              <w:t xml:space="preserve">Complete the book’s own sentence. The list holds more words than there are gaps.</w:t>
            </w:r>
          </w:p>
          <w:p>
            <w:pPr>
              <w:spacing w:after="30"/>
            </w:pPr>
            <w:r>
              <w:rPr>
                <w:color w:val="6B7280"/>
                <w:sz w:val="16"/>
                <w:szCs w:val="16"/>
              </w:rPr>
              <w:t xml:space="preserve">use every one of these words:  </w:t>
            </w:r>
            <w:r>
              <w:rPr>
                <w:b/>
                <w:bCs/>
                <w:color w:val="1F7A6A"/>
                <w:sz w:val="16"/>
                <w:szCs w:val="16"/>
              </w:rPr>
              <w:t xml:space="preserve">recoverability test  ·  depreciable base  ·  reporting unit  ·  useful life  ·  salvage value</w:t>
            </w:r>
          </w:p>
          <w:p>
            <w:pPr>
              <w:spacing w:before="26" w:after="26"/>
              <w:ind w:left="200"/>
            </w:pPr>
            <w:r>
              <w:rPr>
                <w:sz w:val="19"/>
                <w:szCs w:val="19"/>
              </w:rPr>
              <w:t xml:space="preserve">Depreciation spreads the </w:t>
            </w:r>
            <w:r>
              <w:rPr>
                <w:u w:val="single"/>
                <w:sz w:val="19"/>
                <w:szCs w:val="19"/>
              </w:rPr>
              <w:t xml:space="preserve">                  </w:t>
            </w:r>
            <w:r>
              <w:rPr>
                <w:sz w:val="19"/>
                <w:szCs w:val="19"/>
              </w:rPr>
              <w:t xml:space="preserve">, cost minus </w:t>
            </w:r>
            <w:r>
              <w:rPr>
                <w:u w:val="single"/>
                <w:sz w:val="19"/>
                <w:szCs w:val="19"/>
              </w:rPr>
              <w:t xml:space="preserve">               </w:t>
            </w:r>
            <w:r>
              <w:rPr>
                <w:sz w:val="19"/>
                <w:szCs w:val="19"/>
              </w:rPr>
              <w:t xml:space="preserve">, over the </w:t>
            </w:r>
            <w:r>
              <w:rPr>
                <w:u w:val="single"/>
                <w:sz w:val="19"/>
                <w:szCs w:val="19"/>
              </w:rPr>
              <w:t xml:space="preserve">             </w:t>
            </w:r>
            <w:r>
              <w:rPr>
                <w:sz w:val="19"/>
                <w:szCs w:val="19"/>
              </w:rPr>
              <w:t xml:space="preserve"> in a systematic and rational way.</w:t>
            </w:r>
          </w:p>
        </w:tc>
      </w:tr>
    </w:tbl>
    <w:p/>
    <w:p>
      <w:pPr>
        <w:pageBreakBefore w:val="true"/>
        <w:spacing w:after="0"/>
      </w:pPr>
      <w:r>
        <w:rPr>
          <w:sz w:val="2"/>
        </w:rPr>
        <w:t xml:space="preserve"> </w:t>
      </w:r>
    </w:p>
    <w:p>
      <w:pPr>
        <w:spacing w:before="50" w:after="24"/>
      </w:pPr>
      <w:r>
        <w:rPr>
          <w:b/>
          <w:bCs/>
          <w:color w:val="C9762E"/>
          <w:sz w:val="17"/>
          <w:szCs w:val="17"/>
        </w:rPr>
        <w:t xml:space="preserve">Two of the book’s own cases, side by side</w:t>
      </w:r>
    </w:p>
    <w:tbl>
      <w:tblPr>
        <w:tblW w:type="pct" w:w="100%"/>
        <w:tblLayout w:type="fixed"/>
        <w:tblBorders>
          <w:top w:val="single" w:color="C9762E" w:sz="6"/>
          <w:left w:val="single" w:color="C9762E" w:sz="6"/>
          <w:bottom w:val="single" w:color="C9762E" w:sz="6"/>
          <w:right w:val="single" w:color="C9762E" w:sz="6"/>
          <w:insideH w:val="single" w:color="C9762E" w:sz="6"/>
          <w:insideV w:val="single" w:color="C9762E" w:sz="6"/>
        </w:tblBorders>
      </w:tblPr>
      <w:tblGrid>
        <w:gridCol w:w="4800"/>
        <w:gridCol w:w="4800"/>
      </w:tblGrid>
      <w:tr>
        <w:tc>
          <w:tcPr>
            <w:tcW w:type="pct" w:w="2500"/>
            <w:shd w:fill="FBF4E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34" w:after="34"/>
            </w:pPr>
            <w:r>
              <w:rPr>
                <w:b/>
                <w:bCs/>
                <w:color w:val="C9762E"/>
                <w:sz w:val="16"/>
                <w:szCs w:val="16"/>
              </w:rPr>
              <w:t xml:space="preserve">Expense in early years</w:t>
            </w:r>
          </w:p>
        </w:tc>
        <w:tc>
          <w:tcPr>
            <w:tcW w:type="pct" w:w="2500"/>
            <w:shd w:fill="FBF4E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34" w:after="34"/>
            </w:pPr>
            <w:r>
              <w:rPr>
                <w:b/>
                <w:bCs/>
                <w:color w:val="C9762E"/>
                <w:sz w:val="16"/>
                <w:szCs w:val="16"/>
              </w:rPr>
              <w:t xml:space="preserve">Total expense over the life</w:t>
            </w:r>
          </w:p>
        </w:tc>
      </w:tr>
      <w:tr>
        <w:tc>
          <w:tcPr>
            <w:tcW w:type="pct" w:w="25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sz w:val="16"/>
                <w:szCs w:val="16"/>
              </w:rPr>
              <w:t xml:space="preserve">Straight-line: Lowest (even)</w:t>
            </w:r>
          </w:p>
        </w:tc>
        <w:tc>
          <w:tcPr>
            <w:tcW w:type="pct" w:w="25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sz w:val="16"/>
                <w:szCs w:val="16"/>
              </w:rPr>
              <w:t xml:space="preserve">Straight-line: Same</w:t>
            </w:r>
          </w:p>
        </w:tc>
      </w:tr>
      <w:tr>
        <w:tc>
          <w:tcPr>
            <w:tcW w:type="pct" w:w="25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sz w:val="16"/>
                <w:szCs w:val="16"/>
              </w:rPr>
              <w:t xml:space="preserve">Double-declining: Highest</w:t>
            </w:r>
          </w:p>
        </w:tc>
        <w:tc>
          <w:tcPr>
            <w:tcW w:type="pct" w:w="25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sz w:val="16"/>
                <w:szCs w:val="16"/>
              </w:rPr>
              <w:t xml:space="preserve">Double-declining: Same</w:t>
            </w:r>
          </w:p>
        </w:tc>
      </w:tr>
      <w:tr>
        <w:tc>
          <w:tcPr>
            <w:tcW w:type="pct" w:w="25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sz w:val="16"/>
                <w:szCs w:val="16"/>
              </w:rPr>
              <w:t xml:space="preserve">SYD: High</w:t>
            </w:r>
          </w:p>
        </w:tc>
        <w:tc>
          <w:tcPr>
            <w:tcW w:type="pct" w:w="25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sz w:val="16"/>
                <w:szCs w:val="16"/>
              </w:rPr>
              <w:t xml:space="preserve">SYD: Same</w:t>
            </w:r>
          </w:p>
        </w:tc>
      </w:tr>
    </w:tbl>
    <w:p>
      <w:pPr>
        <w:spacing w:before="36" w:after="16"/>
      </w:pPr>
      <w:r>
        <w:rPr>
          <w:sz w:val="18"/>
          <w:szCs w:val="18"/>
        </w:rPr>
        <w:t xml:space="preserve">Only the facts above differ. What is the units of production of Expense in early years?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20.  </w:t>
      </w:r>
      <w:r>
        <w:rPr>
          <w:sz w:val="19"/>
          <w:szCs w:val="19"/>
        </w:rPr>
        <w:t xml:space="preserve">Choose one: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Same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No effect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Follows use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4" w:after="24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D3F7E"/>
                <w:sz w:val="17"/>
                <w:szCs w:val="17"/>
              </w:rPr>
              <w:t xml:space="preserve">APPLY</w:t>
            </w:r>
            <w:r>
              <w:rPr>
                <w:color w:val="6B7280"/>
                <w:sz w:val="18"/>
                <w:szCs w:val="18"/>
              </w:rPr>
              <w:t xml:space="preserve">      No help on this move.</w:t>
            </w:r>
          </w:p>
        </w:tc>
      </w:tr>
    </w:tbl>
    <w:p>
      <w:pPr>
        <w:pBdr>
          <w:top w:val="single" w:sz="6" w:space="1" w:color="6D3F7E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21.  </w:t>
      </w:r>
      <w:r>
        <w:rPr>
          <w:sz w:val="19"/>
          <w:szCs w:val="19"/>
        </w:rPr>
        <w:t xml:space="preserve">The bottling line's wear depends on machine hours, and its hours fall each year. Which method gives the BEST matching of expense with use?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Straight-line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Units of production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Sum-of-the-years'-digits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Double-declining balance</w:t>
            </w:r>
          </w:p>
        </w:tc>
      </w:tr>
    </w:tbl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22.  </w:t>
      </w:r>
      <w:r>
        <w:rPr>
          <w:sz w:val="19"/>
          <w:szCs w:val="19"/>
        </w:rPr>
        <w:t xml:space="preserve">A machine cost 50,000. At January 1, accumulated depreciation was 30,000, and straight-line depreciation is 4,000 a year. It is sold on July 1 for 17,000. What is the gain or loss?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Loss of 3,000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Loss of 33,000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Gain of 1,000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Loss of 1,000</w:t>
            </w:r>
          </w:p>
        </w:tc>
      </w:tr>
    </w:tbl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23.  </w:t>
      </w:r>
      <w:r>
        <w:rPr>
          <w:sz w:val="19"/>
          <w:szCs w:val="19"/>
        </w:rPr>
        <w:t xml:space="preserve">A fire destroys a warehouse with a carrying amount of 400. Insurance pays 520, and the company uses the money to build a new warehouse. What does the company record for the fire?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A gain of 120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No gain, because the money is reinvested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A loss of 400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A gain of 520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24.  </w:t>
      </w:r>
      <w:r>
        <w:rPr>
          <w:sz w:val="19"/>
          <w:szCs w:val="19"/>
        </w:rPr>
        <w:t xml:space="preserve">An asset group has a carrying amount of 900, undiscounted future cash flows of 950 and a fair value of 800. What impairment loss is recorded?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50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150</w:t>
            </w:r>
          </w:p>
        </w:tc>
      </w:tr>
    </w:tbl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1F7A6A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WORK IN PAIRS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1F7A6A"/>
                <w:sz w:val="18"/>
                <w:szCs w:val="18"/>
              </w:rPr>
              <w:t xml:space="preserve">Compare every answer on this page with your partner before you read any key.</w:t>
            </w:r>
          </w:p>
        </w:tc>
      </w:tr>
    </w:tbl>
    <w:p>
      <w:pPr>
        <w:spacing w:before="20" w:after="50"/>
      </w:pPr>
      <w:r>
        <w:rPr>
          <w:b/>
          <w:bCs/>
          <w:color w:val="1F7A6A"/>
          <w:sz w:val="16"/>
          <w:szCs w:val="16"/>
        </w:rPr>
        <w:t xml:space="preserve">If you disagree: </w:t>
      </w:r>
      <w:r>
        <w:rPr>
          <w:color w:val="6B7280"/>
          <w:sz w:val="16"/>
          <w:szCs w:val="16"/>
        </w:rPr>
        <w:t xml:space="preserve">go back to the model and find the row that settles it. The row decides, not the louder voice.</w:t>
      </w:r>
    </w:p>
    <w:tbl>
      <w:tblPr>
        <w:tblW w:type="pct" w:w="100%"/>
        <w:tblLayout w:type="fixed"/>
        <w:tblBorders>
          <w:top w:val="single" w:color="C0483F" w:sz="12"/>
          <w:left w:val="single" w:color="C0483F" w:sz="12"/>
          <w:bottom w:val="single" w:color="C0483F" w:sz="12"/>
          <w:right w:val="single" w:color="C0483F" w:sz="12"/>
          <w:insideH w:val="single" w:color="C0483F" w:sz="12"/>
          <w:insideV w:val="single" w:color="C0483F" w:sz="12"/>
        </w:tblBorders>
      </w:tblPr>
      <w:tblGrid>
        <w:gridCol w:w="9600"/>
      </w:tblGrid>
      <w:tr>
        <w:tc>
          <w:tcPr>
            <w:tcW w:type="pct" w:w="5000"/>
            <w:shd w:fill="FBF0E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50" w:after="24"/>
            </w:pPr>
            <w:r>
              <w:rPr>
                <w:b/>
                <w:bCs/>
                <w:color w:val="C0483F"/>
                <w:sz w:val="16"/>
                <w:szCs w:val="16"/>
              </w:rPr>
              <w:t xml:space="preserve">CHECKPOINT  </w:t>
            </w:r>
            <w:r>
              <w:rPr>
                <w:b/>
                <w:bCs/>
                <w:color w:val="353A7C"/>
                <w:sz w:val="19"/>
                <w:szCs w:val="19"/>
              </w:rPr>
              <w:t xml:space="preserve">25.  </w:t>
            </w:r>
            <w:r>
              <w:rPr>
                <w:sz w:val="19"/>
                <w:szCs w:val="19"/>
              </w:rPr>
              <w:t xml:space="preserve">The bottling line's wear depends on machine hours, and its hours fall each year. Which method gives the BEST matching of expense with use?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Straight-line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Sum-of-the-years'-digits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Units of production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Double-declining balance</w:t>
            </w:r>
          </w:p>
          <w:p>
            <w:pPr>
              <w:spacing w:before="20" w:after="50"/>
            </w:pPr>
            <w:r>
              <w:rPr>
                <w:color w:val="C0483F"/>
                <w:sz w:val="17"/>
                <w:szCs w:val="17"/>
              </w:rPr>
              <w:t xml:space="preserve">If you got it wrong: redo the READ THE MODEL questions of cycle A with the model in front of you.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1056"/>
        <w:gridCol w:w="8544"/>
      </w:tblGrid>
      <w:tr>
        <w:tc>
          <w:tcPr>
            <w:tcW w:type="pct" w:w="550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CYCLE B</w:t>
            </w:r>
          </w:p>
        </w:tc>
        <w:tc>
          <w:tcPr>
            <w:tcW w:type="pct" w:w="4450"/>
            <w:shd w:fill="F2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353A7C"/>
                <w:sz w:val="22"/>
                <w:szCs w:val="22"/>
              </w:rPr>
              <w:t xml:space="preserve">The words this section uses precisely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ORIENT</w:t>
            </w:r>
          </w:p>
        </w:tc>
      </w:tr>
    </w:tbl>
    <w:p>
      <w:pPr>
        <w:pBdr>
          <w:top w:val="single" w:sz="6" w:space="1" w:color="6B7280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26.  </w:t>
      </w:r>
      <w:r>
        <w:rPr>
          <w:sz w:val="19"/>
          <w:szCs w:val="19"/>
        </w:rPr>
        <w:t xml:space="preserve">A term in the exam means exactly what the book defines it to mean, whatever it means in ordinary English.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MODEL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880"/>
        <w:gridCol w:w="4720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The English the exam uses, and what it translates</w:t>
            </w:r>
          </w:p>
        </w:tc>
      </w:tr>
      <w:tr>
        <w:tc>
          <w:tcPr>
            <w:tcW w:type="pct" w:w="2542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English (exam term)</w:t>
            </w:r>
          </w:p>
        </w:tc>
        <w:tc>
          <w:tcPr>
            <w:tcW w:type="pct" w:w="245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the Arabic it translates</w:t>
            </w:r>
          </w:p>
        </w:tc>
      </w:tr>
      <w:tr>
        <w:tc>
          <w:tcPr>
            <w:tcW w:type="pct" w:w="2542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depreciable base</w:t>
            </w:r>
          </w:p>
        </w:tc>
        <w:tc>
          <w:tcPr>
            <w:tcW w:type="pct" w:w="245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المبلغ القابل للاستهلاك</w:t>
            </w:r>
          </w:p>
        </w:tc>
      </w:tr>
      <w:tr>
        <w:tc>
          <w:tcPr>
            <w:tcW w:type="pct" w:w="2542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recoverability test</w:t>
            </w:r>
          </w:p>
        </w:tc>
        <w:tc>
          <w:tcPr>
            <w:tcW w:type="pct" w:w="2458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اختبار قابلية الاسترداد</w:t>
            </w:r>
          </w:p>
        </w:tc>
      </w:tr>
      <w:tr>
        <w:tc>
          <w:tcPr>
            <w:tcW w:type="pct" w:w="2542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capitalized interest</w:t>
            </w:r>
          </w:p>
        </w:tc>
        <w:tc>
          <w:tcPr>
            <w:tcW w:type="pct" w:w="245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الفائدة المرسملة</w:t>
            </w:r>
          </w:p>
        </w:tc>
      </w:tr>
      <w:tr>
        <w:tc>
          <w:tcPr>
            <w:tcW w:type="pct" w:w="2542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change in accounting estimate</w:t>
            </w:r>
          </w:p>
        </w:tc>
        <w:tc>
          <w:tcPr>
            <w:tcW w:type="pct" w:w="2458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التغير في التقدير المحاسبي</w:t>
            </w:r>
          </w:p>
        </w:tc>
      </w:tr>
      <w:tr>
        <w:tc>
          <w:tcPr>
            <w:tcW w:type="pct" w:w="2542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reporting unit</w:t>
            </w:r>
          </w:p>
        </w:tc>
        <w:tc>
          <w:tcPr>
            <w:tcW w:type="pct" w:w="245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وحدة إعداد التقارير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READ THE MODEL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24"/>
      </w:pPr>
      <w:r>
        <w:rPr>
          <w:sz w:val="19"/>
          <w:szCs w:val="19"/>
        </w:rPr>
        <w:t xml:space="preserve">Write the letter of the Arabic term beside each English term. Every term is used once.</w:t>
      </w:r>
    </w:p>
    <w:tbl>
      <w:tblPr>
        <w:tblW w:type="pct" w:w="100%"/>
        <w:tblLayout w:type="fixed"/>
        <w:tblBorders>
          <w:top w:val="single" w:color="8186EF" w:sz="4"/>
          <w:left w:val="single" w:color="8186EF" w:sz="4"/>
          <w:bottom w:val="single" w:color="8186EF" w:sz="4"/>
          <w:right w:val="single" w:color="8186EF" w:sz="4"/>
          <w:insideH w:val="single" w:color="8186EF" w:sz="4"/>
          <w:insideV w:val="single" w:color="8186EF" w:sz="4"/>
        </w:tblBorders>
      </w:tblPr>
      <w:tblGrid>
        <w:gridCol w:w="4800"/>
        <w:gridCol w:w="4800"/>
      </w:tblGrid>
      <w:tr>
        <w:tc>
          <w:tcPr>
            <w:tcW w:type="pct" w:w="25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18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A  </w:t>
            </w:r>
            <w:r>
              <w:rPr>
                <w:sz w:val="16"/>
                <w:szCs w:val="16"/>
              </w:rPr>
              <w:t xml:space="preserve">التغير في التقدير المحاسبي</w:t>
            </w:r>
          </w:p>
        </w:tc>
        <w:tc>
          <w:tcPr>
            <w:tcW w:type="pct" w:w="25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18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D  </w:t>
            </w:r>
            <w:r>
              <w:rPr>
                <w:sz w:val="16"/>
                <w:szCs w:val="16"/>
              </w:rPr>
              <w:t xml:space="preserve">اختبار قابلية الاسترداد</w:t>
            </w:r>
          </w:p>
        </w:tc>
      </w:tr>
      <w:tr>
        <w:tc>
          <w:tcPr>
            <w:tcW w:type="pct" w:w="25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18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B  </w:t>
            </w:r>
            <w:r>
              <w:rPr>
                <w:sz w:val="16"/>
                <w:szCs w:val="16"/>
              </w:rPr>
              <w:t xml:space="preserve">المبلغ القابل للاستهلاك</w:t>
            </w:r>
          </w:p>
        </w:tc>
        <w:tc>
          <w:tcPr>
            <w:tcW w:type="pct" w:w="25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18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E  </w:t>
            </w:r>
            <w:r>
              <w:rPr>
                <w:sz w:val="16"/>
                <w:szCs w:val="16"/>
              </w:rPr>
              <w:t xml:space="preserve">وحدة إعداد التقارير</w:t>
            </w:r>
          </w:p>
        </w:tc>
      </w:tr>
      <w:tr>
        <w:tc>
          <w:tcPr>
            <w:tcW w:type="pct" w:w="25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18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C  </w:t>
            </w:r>
            <w:r>
              <w:rPr>
                <w:sz w:val="16"/>
                <w:szCs w:val="16"/>
              </w:rPr>
              <w:t xml:space="preserve">الفائدة المرسملة</w:t>
            </w:r>
          </w:p>
        </w:tc>
        <w:tc>
          <w:tcPr>
            <w:tcW w:type="pct" w:w="25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24" w:after="24"/>
            </w:pPr>
            <w:r>
              <w:rPr>
                <w:sz w:val="16"/>
                <w:szCs w:val="16"/>
              </w:rPr>
              <w:t xml:space="preserve"/>
            </w:r>
          </w:p>
        </w:tc>
      </w:tr>
    </w:tbl>
    <w:p/>
    <w:p>
      <w:pPr>
        <w:spacing w:before="24" w:after="24"/>
        <w:ind w:left="300" w:hanging="300"/>
      </w:pPr>
      <w:r>
        <w:rPr>
          <w:b/>
          <w:bCs/>
          <w:color w:val="353A7C"/>
          <w:sz w:val="18"/>
          <w:szCs w:val="18"/>
        </w:rPr>
        <w:t xml:space="preserve">27.  </w:t>
      </w:r>
      <w:r>
        <w:rPr>
          <w:sz w:val="18"/>
          <w:szCs w:val="18"/>
        </w:rPr>
        <w:t xml:space="preserve">reporting unit</w:t>
      </w:r>
      <w:r>
        <w:rPr>
          <w:sz w:val="18"/>
          <w:szCs w:val="18"/>
        </w:rPr>
        <w:t xml:space="preserve">      </w:t>
      </w:r>
      <w:r>
        <w:rPr>
          <w:u w:val="single"/>
          <w:sz w:val="18"/>
          <w:szCs w:val="18"/>
        </w:rPr>
        <w:t xml:space="preserve">        </w:t>
      </w:r>
    </w:p>
    <w:p>
      <w:pPr>
        <w:spacing w:before="24" w:after="24"/>
        <w:ind w:left="300" w:hanging="300"/>
      </w:pPr>
      <w:r>
        <w:rPr>
          <w:b/>
          <w:bCs/>
          <w:color w:val="353A7C"/>
          <w:sz w:val="18"/>
          <w:szCs w:val="18"/>
        </w:rPr>
        <w:t xml:space="preserve">28.  </w:t>
      </w:r>
      <w:r>
        <w:rPr>
          <w:sz w:val="18"/>
          <w:szCs w:val="18"/>
        </w:rPr>
        <w:t xml:space="preserve">recoverability test</w:t>
      </w:r>
      <w:r>
        <w:rPr>
          <w:sz w:val="18"/>
          <w:szCs w:val="18"/>
        </w:rPr>
        <w:t xml:space="preserve">      </w:t>
      </w:r>
      <w:r>
        <w:rPr>
          <w:u w:val="single"/>
          <w:sz w:val="18"/>
          <w:szCs w:val="18"/>
        </w:rPr>
        <w:t xml:space="preserve">        </w:t>
      </w:r>
    </w:p>
    <w:p>
      <w:pPr>
        <w:spacing w:before="24" w:after="24"/>
        <w:ind w:left="300" w:hanging="300"/>
      </w:pPr>
      <w:r>
        <w:rPr>
          <w:b/>
          <w:bCs/>
          <w:color w:val="353A7C"/>
          <w:sz w:val="18"/>
          <w:szCs w:val="18"/>
        </w:rPr>
        <w:t xml:space="preserve">29.  </w:t>
      </w:r>
      <w:r>
        <w:rPr>
          <w:sz w:val="18"/>
          <w:szCs w:val="18"/>
        </w:rPr>
        <w:t xml:space="preserve">capitalized interest</w:t>
      </w:r>
      <w:r>
        <w:rPr>
          <w:sz w:val="18"/>
          <w:szCs w:val="18"/>
        </w:rPr>
        <w:t xml:space="preserve">      </w:t>
      </w:r>
      <w:r>
        <w:rPr>
          <w:u w:val="single"/>
          <w:sz w:val="18"/>
          <w:szCs w:val="18"/>
        </w:rPr>
        <w:t xml:space="preserve">        </w:t>
      </w:r>
    </w:p>
    <w:p>
      <w:pPr>
        <w:spacing w:before="24" w:after="24"/>
        <w:ind w:left="300" w:hanging="300"/>
      </w:pPr>
      <w:r>
        <w:rPr>
          <w:b/>
          <w:bCs/>
          <w:color w:val="353A7C"/>
          <w:sz w:val="18"/>
          <w:szCs w:val="18"/>
        </w:rPr>
        <w:t xml:space="preserve">30.  </w:t>
      </w:r>
      <w:r>
        <w:rPr>
          <w:sz w:val="18"/>
          <w:szCs w:val="18"/>
        </w:rPr>
        <w:t xml:space="preserve">depreciable base</w:t>
      </w:r>
      <w:r>
        <w:rPr>
          <w:sz w:val="18"/>
          <w:szCs w:val="18"/>
        </w:rPr>
        <w:t xml:space="preserve">      </w:t>
      </w:r>
      <w:r>
        <w:rPr>
          <w:u w:val="single"/>
          <w:sz w:val="18"/>
          <w:szCs w:val="18"/>
        </w:rPr>
        <w:t xml:space="preserve">        </w:t>
      </w:r>
    </w:p>
    <w:p>
      <w:pPr>
        <w:spacing w:before="24" w:after="24"/>
        <w:ind w:left="300" w:hanging="300"/>
      </w:pPr>
      <w:r>
        <w:rPr>
          <w:b/>
          <w:bCs/>
          <w:color w:val="353A7C"/>
          <w:sz w:val="18"/>
          <w:szCs w:val="18"/>
        </w:rPr>
        <w:t xml:space="preserve">31.  </w:t>
      </w:r>
      <w:r>
        <w:rPr>
          <w:sz w:val="18"/>
          <w:szCs w:val="18"/>
        </w:rPr>
        <w:t xml:space="preserve">change in accounting estimate</w:t>
      </w:r>
      <w:r>
        <w:rPr>
          <w:sz w:val="18"/>
          <w:szCs w:val="18"/>
        </w:rPr>
        <w:t xml:space="preserve">      </w:t>
      </w:r>
      <w:r>
        <w:rPr>
          <w:u w:val="single"/>
          <w:sz w:val="18"/>
          <w:szCs w:val="18"/>
        </w:rPr>
        <w:t xml:space="preserve">        </w:t>
      </w:r>
    </w:p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D3F7E"/>
                <w:sz w:val="17"/>
                <w:szCs w:val="17"/>
              </w:rPr>
              <w:t xml:space="preserve">APPLY</w:t>
            </w:r>
          </w:p>
        </w:tc>
      </w:tr>
    </w:tbl>
    <w:p>
      <w:pPr>
        <w:pBdr>
          <w:top w:val="single" w:sz="6" w:space="1" w:color="6D3F7E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32.  </w:t>
      </w:r>
      <w:r>
        <w:rPr>
          <w:sz w:val="19"/>
          <w:szCs w:val="19"/>
        </w:rPr>
        <w:t xml:space="preserve">Which statement about assets held for sale is correct?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They are measured at the lower of carrying amount and fair value less cost to sell, and are not depreciated.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They are depreciated faster because they will be sold soon.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They are measured at fair value, with gains above the carrying amount recognized.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They are tested with the two-step recoverability test.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33.  </w:t>
      </w:r>
      <w:r>
        <w:rPr>
          <w:sz w:val="19"/>
          <w:szCs w:val="19"/>
        </w:rPr>
        <w:t xml:space="preserve">An indefinite-lived brand has a carrying amount of 300 and a fair value of 260. How is it tested and what is the loss?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Two-step test; no loss if undiscounted cash flows exceed 300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Amortize it instead of testing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One-step test; no loss because brands cannot be impaired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One-step fair value test; loss of 40</w:t>
      </w:r>
    </w:p>
    <w:tbl>
      <w:tblPr>
        <w:tblW w:type="pct" w:w="100%"/>
        <w:tblLayout w:type="fixed"/>
        <w:tblBorders>
          <w:top w:val="single" w:color="C0483F" w:sz="12"/>
          <w:left w:val="single" w:color="C0483F" w:sz="12"/>
          <w:bottom w:val="single" w:color="C0483F" w:sz="12"/>
          <w:right w:val="single" w:color="C0483F" w:sz="12"/>
          <w:insideH w:val="single" w:color="C0483F" w:sz="12"/>
          <w:insideV w:val="single" w:color="C0483F" w:sz="12"/>
        </w:tblBorders>
      </w:tblPr>
      <w:tblGrid>
        <w:gridCol w:w="9600"/>
      </w:tblGrid>
      <w:tr>
        <w:tc>
          <w:tcPr>
            <w:tcW w:type="pct" w:w="5000"/>
            <w:shd w:fill="FBF0E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50" w:after="24"/>
            </w:pPr>
            <w:r>
              <w:rPr>
                <w:b/>
                <w:bCs/>
                <w:color w:val="C0483F"/>
                <w:sz w:val="16"/>
                <w:szCs w:val="16"/>
              </w:rPr>
              <w:t xml:space="preserve">CHECKPOINT  </w:t>
            </w:r>
            <w:r>
              <w:rPr>
                <w:b/>
                <w:bCs/>
                <w:color w:val="353A7C"/>
                <w:sz w:val="19"/>
                <w:szCs w:val="19"/>
              </w:rPr>
              <w:t xml:space="preserve">34.  </w:t>
            </w:r>
            <w:r>
              <w:rPr>
                <w:sz w:val="19"/>
                <w:szCs w:val="19"/>
              </w:rPr>
              <w:t xml:space="preserve">What is the safest way to settle a disagreement about an answer on this sheet?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find the row of the model that decides it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take the answer of whoever is more confident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leave it until the lecturer says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choose the longer option</w:t>
            </w:r>
          </w:p>
          <w:p>
            <w:pPr>
              <w:spacing w:before="20" w:after="50"/>
            </w:pPr>
            <w:r>
              <w:rPr>
                <w:color w:val="C0483F"/>
                <w:sz w:val="17"/>
                <w:szCs w:val="17"/>
              </w:rPr>
              <w:t xml:space="preserve">If you got it wrong: redo the READ THE MODEL questions of cycle B.</w:t>
            </w:r>
          </w:p>
        </w:tc>
      </w:tr>
    </w:tbl>
    <w:p/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353A7C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FROM MEMORY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353A7C"/>
                <w:sz w:val="18"/>
                <w:szCs w:val="18"/>
              </w:rPr>
              <w:t xml:space="preserve">Close the earlier pages first.</w:t>
            </w:r>
          </w:p>
        </w:tc>
      </w:tr>
    </w:tbl>
    <w:p>
      <w:pPr>
        <w:spacing w:before="30" w:after="40"/>
      </w:pPr>
      <w:r>
        <w:rPr>
          <w:b/>
          <w:bCs/>
          <w:color w:val="353A7C"/>
          <w:sz w:val="19"/>
          <w:szCs w:val="19"/>
        </w:rPr>
        <w:t xml:space="preserve">35.  </w:t>
      </w:r>
      <w:r>
        <w:rPr>
          <w:sz w:val="19"/>
          <w:szCs w:val="19"/>
        </w:rPr>
        <w:t xml:space="preserve">Rebuild the figure from this handout. Label every part and fill in every box.</w:t>
      </w:r>
    </w:p>
    <w:p>
      <w:pPr>
        <w:spacing w:after="40" w:before="90"/>
        <w:jc w:val="center"/>
      </w:pPr>
      <w:r>
        <w:drawing>
          <wp:inline distT="0" distB="0" distL="0" distR="0">
            <wp:extent cx="5734050" cy="1735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7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1F7A6A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TEACH IT BACK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1F7A6A"/>
                <w:sz w:val="18"/>
                <w:szCs w:val="18"/>
              </w:rPr>
              <w:t xml:space="preserve">Write it for a classmate who missed this session — not for the marker.</w:t>
            </w:r>
          </w:p>
        </w:tc>
      </w:tr>
    </w:tbl>
    <w:tbl>
      <w:tblPr>
        <w:tblW w:type="pct" w:w="100%"/>
        <w:tblLayout w:type="fixed"/>
        <w:tblBorders>
          <w:top w:val="single" w:color="1F7A6A" w:sz="10"/>
          <w:left w:val="single" w:color="1F7A6A" w:sz="10"/>
          <w:bottom w:val="single" w:color="1F7A6A" w:sz="10"/>
          <w:right w:val="single" w:color="1F7A6A" w:sz="10"/>
          <w:insideH w:val="single" w:color="1F7A6A" w:sz="10"/>
          <w:insideV w:val="single" w:color="1F7A6A" w:sz="10"/>
        </w:tblBorders>
      </w:tblPr>
      <w:tblGrid>
        <w:gridCol w:w="9600"/>
      </w:tblGrid>
      <w:tr>
        <w:tc>
          <w:tcPr>
            <w:tcW w:type="pct" w:w="5000"/>
            <w:shd w:fill="EEF6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24"/>
            </w:pPr>
            <w:r>
              <w:rPr>
                <w:b/>
                <w:bCs/>
                <w:color w:val="1F7A6A"/>
                <w:sz w:val="19"/>
                <w:szCs w:val="19"/>
              </w:rPr>
              <w:t xml:space="preserve">36.  </w:t>
            </w:r>
            <w:r>
              <w:rPr>
                <w:sz w:val="19"/>
                <w:szCs w:val="19"/>
              </w:rPr>
              <w:t xml:space="preserve">In three or four sentences, write what this section settles and the one rule a reader has to take away.</w:t>
            </w:r>
          </w:p>
          <w:p>
            <w:pPr>
              <w:spacing w:after="36"/>
            </w:pPr>
            <w:r>
              <w:rPr>
                <w:color w:val="6B7280"/>
                <w:sz w:val="16"/>
                <w:szCs w:val="16"/>
              </w:rPr>
              <w:t xml:space="preserve">every one of these words must appear:  </w:t>
            </w:r>
            <w:r>
              <w:rPr>
                <w:b/>
                <w:bCs/>
                <w:color w:val="1F7A6A"/>
                <w:sz w:val="16"/>
                <w:szCs w:val="16"/>
              </w:rPr>
              <w:t xml:space="preserve">depreciable base  ·  recoverability test  ·  capitalized interest  ·  change in accounting estimate</w:t>
            </w:r>
          </w:p>
        </w:tc>
      </w:tr>
    </w:tbl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/>
    <w:p>
      <w:pPr>
        <w:sectPr>
          <w:headerReference w:type="default" r:id="rIdHdr2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10.3</w:t>
      </w:r>
    </w:p>
    <w:p>
      <w:pPr>
        <w:spacing w:after="8"/>
      </w:pPr>
      <w:r>
        <w:rPr>
          <w:color w:val="23265A"/>
          <w:sz w:val="22"/>
          <w:szCs w:val="22"/>
        </w:rPr>
        <w:t xml:space="preserve">Recommending a depreciation method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section 10.3 of the book</w:t>
      </w:r>
    </w:p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9600"/>
      </w:tblGrid>
      <w:tr>
        <w:tc>
          <w:tcPr>
            <w:tcW w:type="pct" w:w="5000"/>
            <w:shd w:fill="353A7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50" w:after="16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Before you start</w:t>
            </w:r>
          </w:p>
          <w:p>
            <w:pPr>
              <w:spacing w:before="0" w:after="50"/>
            </w:pPr>
            <w:r>
              <w:rPr>
                <w:color w:val="E8EAF6"/>
                <w:sz w:val="16"/>
                <w:szCs w:val="16"/>
              </w:rPr>
              <w:t xml:space="preserve">Three summaries of this handout, in the book’s own words. Read all three first: together they are the whole session. Then fill the gaps, guessing where you have to.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2226"/>
        <w:gridCol w:w="2709"/>
        <w:gridCol w:w="4666"/>
      </w:tblGrid>
      <w:tr>
        <w:tc>
          <w:tcPr>
            <w:tcW w:type="pct" w:w="5000"/>
            <w:gridSpan w:val="3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What this handout settles, cycle by cycle</w:t>
            </w:r>
          </w:p>
        </w:tc>
      </w:tr>
      <w:tr>
        <w:tc>
          <w:tcPr>
            <w:tcW w:type="pct" w:w="1159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In this handout</w:t>
            </w:r>
          </w:p>
        </w:tc>
        <w:tc>
          <w:tcPr>
            <w:tcW w:type="pct" w:w="1411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What you will read</w:t>
            </w:r>
          </w:p>
        </w:tc>
        <w:tc>
          <w:tcPr>
            <w:tcW w:type="pct" w:w="243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How you check it</w:t>
            </w:r>
          </w:p>
        </w:tc>
      </w:tr>
      <w:tr>
        <w:tc>
          <w:tcPr>
            <w:tcW w:type="pct" w:w="1159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Recommending a depreciation method</w:t>
            </w:r>
          </w:p>
        </w:tc>
        <w:tc>
          <w:tcPr>
            <w:tcW w:type="pct" w:w="1411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 figure to read · Item</w:t>
            </w:r>
          </w:p>
        </w:tc>
        <w:tc>
          <w:tcPr>
            <w:tcW w:type="pct" w:w="243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Under U.S. GAAP, a public company tests goodwill. Which statement is correct?</w:t>
            </w:r>
          </w:p>
        </w:tc>
      </w:tr>
      <w:tr>
        <w:tc>
          <w:tcPr>
            <w:tcW w:type="pct" w:w="1159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The words this section uses precisely</w:t>
            </w:r>
          </w:p>
        </w:tc>
        <w:tc>
          <w:tcPr>
            <w:tcW w:type="pct" w:w="1411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The English the exam uses, and what it translates</w:t>
            </w:r>
          </w:p>
        </w:tc>
        <w:tc>
          <w:tcPr>
            <w:tcW w:type="pct" w:w="243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What is the safest way to settle a disagreement about an answer on this sheet?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992"/>
        <w:gridCol w:w="4608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Words this handout uses precisely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Words this handout uses precisely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tick it if you could already use it in a sentence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salvage value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goodwill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straight-line method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involuntary conversion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indefinite-lived intangible asset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</w:tbl>
    <w:p/>
    <w:p>
      <w:pPr>
        <w:spacing w:before="40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1.  </w:t>
      </w:r>
      <w:r>
        <w:rPr>
          <w:sz w:val="19"/>
          <w:szCs w:val="19"/>
        </w:rPr>
        <w:t xml:space="preserve">Where the section starts — Fill every gap. The list holds more words than there are gaps, so one or two of them are not used.</w:t>
      </w:r>
    </w:p>
    <w:p>
      <w:pPr>
        <w:spacing w:before="20" w:after="26"/>
        <w:ind w:left="300"/>
      </w:pPr>
      <w:r>
        <w:rPr>
          <w:color w:val="6B7280"/>
          <w:sz w:val="16"/>
          <w:szCs w:val="16"/>
        </w:rPr>
        <w:t xml:space="preserve">choose from:  </w:t>
      </w:r>
      <w:r>
        <w:rPr>
          <w:b/>
          <w:bCs/>
          <w:color w:val="353A7C"/>
          <w:sz w:val="16"/>
          <w:szCs w:val="16"/>
        </w:rPr>
        <w:t xml:space="preserve">recommending   ·   kilometres   ·   amortization   ·   capital expenditure   ·   depreciation</w:t>
      </w:r>
    </w:p>
    <w:p>
      <w:pPr>
        <w:spacing w:before="36" w:after="36"/>
        <w:ind w:left="300"/>
      </w:pPr>
      <w:r>
        <w:rPr>
          <w:sz w:val="19"/>
          <w:szCs w:val="19"/>
        </w:rPr>
        <w:t xml:space="preserve">The best method matches the pattern in which the company uses up the asset's benefits. Decision path for </w:t>
      </w:r>
      <w:r>
        <w:rPr>
          <w:u w:val="single"/>
          <w:sz w:val="19"/>
          <w:szCs w:val="19"/>
        </w:rPr>
        <w:t xml:space="preserve">              </w:t>
      </w:r>
      <w:r>
        <w:rPr>
          <w:sz w:val="19"/>
          <w:szCs w:val="19"/>
        </w:rPr>
        <w:t xml:space="preserve"> a </w:t>
      </w:r>
      <w:r>
        <w:rPr>
          <w:u w:val="single"/>
          <w:sz w:val="19"/>
          <w:szCs w:val="19"/>
        </w:rPr>
        <w:t xml:space="preserve">              </w:t>
      </w:r>
      <w:r>
        <w:rPr>
          <w:sz w:val="19"/>
          <w:szCs w:val="19"/>
        </w:rPr>
        <w:t xml:space="preserve"> method. A delivery truck wears out with </w:t>
      </w:r>
      <w:r>
        <w:rPr>
          <w:u w:val="single"/>
          <w:sz w:val="19"/>
          <w:szCs w:val="19"/>
        </w:rPr>
        <w:t xml:space="preserve">            </w:t>
      </w:r>
      <w:r>
        <w:rPr>
          <w:sz w:val="19"/>
          <w:szCs w:val="19"/>
        </w:rPr>
        <w:t xml:space="preserve"> driven, so units of production fits.</w:t>
      </w:r>
    </w:p>
    <w:p>
      <w:pPr>
        <w:spacing w:before="40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2.  </w:t>
      </w:r>
      <w:r>
        <w:rPr>
          <w:sz w:val="19"/>
          <w:szCs w:val="19"/>
        </w:rPr>
        <w:t xml:space="preserve">What it settles in the middle — Fill every gap. The list holds more words than there are gaps, so one or two of them are not used.</w:t>
      </w:r>
    </w:p>
    <w:p>
      <w:pPr>
        <w:spacing w:before="20" w:after="26"/>
        <w:ind w:left="300"/>
      </w:pPr>
      <w:r>
        <w:rPr>
          <w:color w:val="6B7280"/>
          <w:sz w:val="16"/>
          <w:szCs w:val="16"/>
        </w:rPr>
        <w:t xml:space="preserve">choose from:  </w:t>
      </w:r>
      <w:r>
        <w:rPr>
          <w:b/>
          <w:bCs/>
          <w:color w:val="353A7C"/>
          <w:sz w:val="16"/>
          <w:szCs w:val="16"/>
        </w:rPr>
        <w:t xml:space="preserve">comparability   ·   amortization   ·   capital expenditure   ·   management's   ·   straight-line</w:t>
      </w:r>
    </w:p>
    <w:p>
      <w:pPr>
        <w:spacing w:before="36" w:after="36"/>
        <w:ind w:left="300"/>
      </w:pPr>
      <w:r>
        <w:rPr>
          <w:sz w:val="19"/>
          <w:szCs w:val="19"/>
        </w:rPr>
        <w:t xml:space="preserve">An office building gives similar service each year, so </w:t>
      </w:r>
      <w:r>
        <w:rPr>
          <w:u w:val="single"/>
          <w:sz w:val="19"/>
          <w:szCs w:val="19"/>
        </w:rPr>
        <w:t xml:space="preserve">               </w:t>
      </w:r>
      <w:r>
        <w:rPr>
          <w:sz w:val="19"/>
          <w:szCs w:val="19"/>
        </w:rPr>
        <w:t xml:space="preserve"> fits. For the bottling line, machine hours drive the wear, so units of production gives the best matching; straight-line is simpler and is acceptable if use is fairly even. Other factors can support the choice: </w:t>
      </w:r>
      <w:r>
        <w:rPr>
          <w:u w:val="single"/>
          <w:sz w:val="19"/>
          <w:szCs w:val="19"/>
        </w:rPr>
        <w:t xml:space="preserve">               </w:t>
      </w:r>
      <w:r>
        <w:rPr>
          <w:sz w:val="19"/>
          <w:szCs w:val="19"/>
        </w:rPr>
        <w:t xml:space="preserve"> with other companies in the industry, the cost of tracking usage, and </w:t>
      </w:r>
      <w:r>
        <w:rPr>
          <w:u w:val="single"/>
          <w:sz w:val="19"/>
          <w:szCs w:val="19"/>
        </w:rPr>
        <w:t xml:space="preserve">              </w:t>
      </w:r>
      <w:r>
        <w:rPr>
          <w:sz w:val="19"/>
          <w:szCs w:val="19"/>
        </w:rPr>
        <w:t xml:space="preserve"> view of income smoothing.</w:t>
      </w:r>
    </w:p>
    <w:p>
      <w:pPr>
        <w:spacing w:before="40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3.  </w:t>
      </w:r>
      <w:r>
        <w:rPr>
          <w:sz w:val="19"/>
          <w:szCs w:val="19"/>
        </w:rPr>
        <w:t xml:space="preserve">Where it ends — Fill every gap. The list holds more words than there are gaps, so one or two of them are not used.</w:t>
      </w:r>
    </w:p>
    <w:p>
      <w:pPr>
        <w:spacing w:before="20" w:after="26"/>
        <w:ind w:left="300"/>
      </w:pPr>
      <w:r>
        <w:rPr>
          <w:color w:val="6B7280"/>
          <w:sz w:val="16"/>
          <w:szCs w:val="16"/>
        </w:rPr>
        <w:t xml:space="preserve">choose from:  </w:t>
      </w:r>
      <w:r>
        <w:rPr>
          <w:b/>
          <w:bCs/>
          <w:color w:val="353A7C"/>
          <w:sz w:val="16"/>
          <w:szCs w:val="16"/>
        </w:rPr>
        <w:t xml:space="preserve">capital expenditure   ·   usefulness   ·   recommendation   ·   kilometres   ·   amortization</w:t>
      </w:r>
    </w:p>
    <w:p>
      <w:pPr>
        <w:spacing w:before="36" w:after="36"/>
        <w:ind w:left="300"/>
      </w:pPr>
      <w:r>
        <w:rPr>
          <w:sz w:val="19"/>
          <w:szCs w:val="19"/>
        </w:rPr>
        <w:t xml:space="preserve">In a Level C question, a </w:t>
      </w:r>
      <w:r>
        <w:rPr>
          <w:u w:val="single"/>
          <w:sz w:val="19"/>
          <w:szCs w:val="19"/>
        </w:rPr>
        <w:t xml:space="preserve">                </w:t>
      </w:r>
      <w:r>
        <w:rPr>
          <w:sz w:val="19"/>
          <w:szCs w:val="19"/>
        </w:rPr>
        <w:t xml:space="preserve"> earns credit only with a reason from the facts: how the asset is used and when its benefits arrive. SC10-5 A delivery truck wears out mainly with </w:t>
      </w:r>
      <w:r>
        <w:rPr>
          <w:u w:val="single"/>
          <w:sz w:val="19"/>
          <w:szCs w:val="19"/>
        </w:rPr>
        <w:t xml:space="preserve">            </w:t>
      </w:r>
      <w:r>
        <w:rPr>
          <w:sz w:val="19"/>
          <w:szCs w:val="19"/>
        </w:rPr>
        <w:t xml:space="preserve"> driven, and the number of kilometres changes a lot from year to year. It loses </w:t>
      </w:r>
      <w:r>
        <w:rPr>
          <w:u w:val="single"/>
          <w:sz w:val="19"/>
          <w:szCs w:val="19"/>
        </w:rPr>
        <w:t xml:space="preserve">            </w:t>
      </w:r>
      <w:r>
        <w:rPr>
          <w:sz w:val="19"/>
          <w:szCs w:val="19"/>
        </w:rPr>
        <w:t xml:space="preserve"> quickly as technology changes.</w:t>
      </w:r>
    </w:p>
    <w:p>
      <w:pPr>
        <w:pageBreakBefore w:val="true"/>
        <w:spacing w:after="0"/>
      </w:pPr>
      <w:r>
        <w:rPr>
          <w:sz w:val="2"/>
          <w:szCs w:val="2"/>
        </w:rPr>
        <w:t xml:space="preserve"> </w:t>
      </w:r>
    </w:p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1056"/>
        <w:gridCol w:w="8544"/>
      </w:tblGrid>
      <w:tr>
        <w:tc>
          <w:tcPr>
            <w:tcW w:type="pct" w:w="550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CYCLE A</w:t>
            </w:r>
          </w:p>
        </w:tc>
        <w:tc>
          <w:tcPr>
            <w:tcW w:type="pct" w:w="4450"/>
            <w:shd w:fill="F2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353A7C"/>
                <w:sz w:val="22"/>
                <w:szCs w:val="22"/>
              </w:rPr>
              <w:t xml:space="preserve">Recommending a depreciation method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ORIENT</w:t>
            </w:r>
            <w:r>
              <w:rPr>
                <w:color w:val="6B7280"/>
                <w:sz w:val="18"/>
                <w:szCs w:val="18"/>
              </w:rPr>
              <w:t xml:space="preserve">      One claim. Decide now; you will check it in a moment.</w:t>
            </w:r>
          </w:p>
        </w:tc>
      </w:tr>
    </w:tbl>
    <w:p>
      <w:pPr>
        <w:pBdr>
          <w:top w:val="single" w:sz="6" w:space="1" w:color="6B7280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4.  </w:t>
      </w:r>
      <w:r>
        <w:rPr>
          <w:sz w:val="19"/>
          <w:szCs w:val="19"/>
        </w:rPr>
        <w:t xml:space="preserve">The book gives the answer of Year 2 as “50% × 45,000 = 22,500; ending book value 22,500”.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MODEL</w:t>
            </w:r>
            <w:r>
              <w:rPr>
                <w:color w:val="6B7280"/>
                <w:sz w:val="18"/>
                <w:szCs w:val="18"/>
              </w:rPr>
              <w:t xml:space="preserve">      Read it before you answer anything below it.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after="40" w:before="90"/>
        <w:jc w:val="center"/>
      </w:pPr>
      <w:r>
        <w:drawing>
          <wp:inline distT="0" distB="0" distL="0" distR="0">
            <wp:extent cx="5734050" cy="3561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56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3956"/>
        <w:gridCol w:w="5644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Item — the book’s own table</w:t>
            </w:r>
          </w:p>
        </w:tc>
      </w:tr>
      <w:tr>
        <w:tc>
          <w:tcPr>
            <w:tcW w:type="pct" w:w="2061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Item</w:t>
            </w:r>
          </w:p>
        </w:tc>
        <w:tc>
          <w:tcPr>
            <w:tcW w:type="pct" w:w="2939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Answer</w:t>
            </w:r>
          </w:p>
        </w:tc>
      </w:tr>
      <w:tr>
        <w:tc>
          <w:tcPr>
            <w:tcW w:type="pct" w:w="2061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Year 2</w:t>
            </w:r>
          </w:p>
        </w:tc>
        <w:tc>
          <w:tcPr>
            <w:tcW w:type="pct" w:w="2939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50% × 45,000 = 22,500; ending book value 22,500</w:t>
            </w:r>
          </w:p>
        </w:tc>
      </w:tr>
      <w:tr>
        <w:tc>
          <w:tcPr>
            <w:tcW w:type="pct" w:w="2061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Year 3</w:t>
            </w:r>
          </w:p>
        </w:tc>
        <w:tc>
          <w:tcPr>
            <w:tcW w:type="pct" w:w="2939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50% × 22,500 = 11,250; ending book value 11,250</w:t>
            </w:r>
          </w:p>
        </w:tc>
      </w:tr>
      <w:tr>
        <w:tc>
          <w:tcPr>
            <w:tcW w:type="pct" w:w="2061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Year 4</w:t>
            </w:r>
          </w:p>
        </w:tc>
        <w:tc>
          <w:tcPr>
            <w:tcW w:type="pct" w:w="2939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The rate would give more than is left above salvage, so depreciation is 11,250 − 10,000 = 1,250; ending book value 10,000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READ THE MODEL</w:t>
            </w:r>
            <w:r>
              <w:rPr>
                <w:color w:val="6B7280"/>
                <w:sz w:val="18"/>
                <w:szCs w:val="18"/>
              </w:rPr>
              <w:t xml:space="preserve">      Every answer is printed above. Find it, do not recall it.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5.  </w:t>
      </w:r>
      <w:r>
        <w:rPr>
          <w:sz w:val="19"/>
          <w:szCs w:val="19"/>
        </w:rPr>
        <w:t xml:space="preserve">Which item does the book pair with “50% × 45,000 = 22,500; ending book value 22,500”?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Year 2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Year 3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Year 4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4" w:after="24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6.  </w:t>
      </w:r>
      <w:r>
        <w:rPr>
          <w:sz w:val="19"/>
          <w:szCs w:val="19"/>
        </w:rPr>
        <w:t xml:space="preserve">Which item does the book pair with “50% × 22,500 = 11,250; ending book value 11,250”?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Year 4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Year 2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Year 3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4" w:after="24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7.  </w:t>
      </w:r>
      <w:r>
        <w:rPr>
          <w:sz w:val="19"/>
          <w:szCs w:val="19"/>
        </w:rPr>
        <w:t xml:space="preserve">The book gives the answer of Year 2 as “50% × 45,000 = 22,500; ending book value 22,500”.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8.  </w:t>
      </w:r>
      <w:r>
        <w:rPr>
          <w:sz w:val="19"/>
          <w:szCs w:val="19"/>
        </w:rPr>
        <w:t xml:space="preserve">The book gives the answer of Year 3 as “50% × 45,000 = 22,500; ending book value 22,500”.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D3F7E"/>
                <w:sz w:val="17"/>
                <w:szCs w:val="17"/>
              </w:rPr>
              <w:t xml:space="preserve">APPLY</w:t>
            </w:r>
            <w:r>
              <w:rPr>
                <w:color w:val="6B7280"/>
                <w:sz w:val="18"/>
                <w:szCs w:val="18"/>
              </w:rPr>
              <w:t xml:space="preserve">      No help on this move.</w:t>
            </w:r>
          </w:p>
        </w:tc>
      </w:tr>
    </w:tbl>
    <w:p>
      <w:pPr>
        <w:pBdr>
          <w:top w:val="single" w:sz="6" w:space="1" w:color="6D3F7E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9.  </w:t>
      </w:r>
      <w:r>
        <w:rPr>
          <w:sz w:val="19"/>
          <w:szCs w:val="19"/>
        </w:rPr>
        <w:t xml:space="preserve">Under U.S. GAAP, a public company tests goodwill. Which statement is correct?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The loss is measured against the implied fair value of goodwill.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The loss is the reporting unit's carrying amount minus its fair value, capped at goodwill.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Goodwill is amortized over ten years and tested only when indicators exist.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Goodwill impairment is reversed if the unit's fair value recovers.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10.  </w:t>
      </w:r>
      <w:r>
        <w:rPr>
          <w:sz w:val="19"/>
          <w:szCs w:val="19"/>
        </w:rPr>
        <w:t xml:space="preserve">Orontes spends 500 on developing a new frozen dessert. The project meets all six IAS 38 criteria. How does Orontes report the 500 under U.S. GAAP?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As an intangible asset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As inventory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As an expense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Half as an asset and half as an expense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11.  </w:t>
      </w:r>
      <w:r>
        <w:rPr>
          <w:sz w:val="19"/>
          <w:szCs w:val="19"/>
        </w:rPr>
        <w:t xml:space="preserve">Which statement about impairment under IAS 36 is TRUE?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The first step uses undiscounted cash flows.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Goodwill impairment can be reversed.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Impairment losses on assets other than goodwill can be reversed.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Recoverable amount is the lower of fair value less costs of disposal and value in use.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12.  </w:t>
      </w:r>
      <w:r>
        <w:rPr>
          <w:sz w:val="19"/>
          <w:szCs w:val="19"/>
        </w:rPr>
        <w:t xml:space="preserve">Spiral review (Chapter 1). Recording depreciation expense has what effect on the accounting equation?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Assets decrease and equity decreases.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Assets decrease and liabilities increase.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Liabilities increase and equity decreases.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No effect, because no cash moves.</w:t>
      </w:r>
    </w:p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1F7A6A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WORK IN PAIRS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1F7A6A"/>
                <w:sz w:val="18"/>
                <w:szCs w:val="18"/>
              </w:rPr>
              <w:t xml:space="preserve">Compare every answer on this page with your partner before you read any key.</w:t>
            </w:r>
          </w:p>
        </w:tc>
      </w:tr>
    </w:tbl>
    <w:p>
      <w:pPr>
        <w:spacing w:before="20" w:after="50"/>
      </w:pPr>
      <w:r>
        <w:rPr>
          <w:b/>
          <w:bCs/>
          <w:color w:val="1F7A6A"/>
          <w:sz w:val="16"/>
          <w:szCs w:val="16"/>
        </w:rPr>
        <w:t xml:space="preserve">If you disagree: </w:t>
      </w:r>
      <w:r>
        <w:rPr>
          <w:color w:val="6B7280"/>
          <w:sz w:val="16"/>
          <w:szCs w:val="16"/>
        </w:rPr>
        <w:t xml:space="preserve">go back to the model and find the row that settles it. The row decides, not the louder voice.</w:t>
      </w:r>
    </w:p>
    <w:tbl>
      <w:tblPr>
        <w:tblW w:type="pct" w:w="100%"/>
        <w:tblLayout w:type="fixed"/>
        <w:tblBorders>
          <w:top w:val="single" w:color="C0483F" w:sz="12"/>
          <w:left w:val="single" w:color="C0483F" w:sz="12"/>
          <w:bottom w:val="single" w:color="C0483F" w:sz="12"/>
          <w:right w:val="single" w:color="C0483F" w:sz="12"/>
          <w:insideH w:val="single" w:color="C0483F" w:sz="12"/>
          <w:insideV w:val="single" w:color="C0483F" w:sz="12"/>
        </w:tblBorders>
      </w:tblPr>
      <w:tblGrid>
        <w:gridCol w:w="9600"/>
      </w:tblGrid>
      <w:tr>
        <w:tc>
          <w:tcPr>
            <w:tcW w:type="pct" w:w="5000"/>
            <w:shd w:fill="FBF0E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50" w:after="24"/>
            </w:pPr>
            <w:r>
              <w:rPr>
                <w:b/>
                <w:bCs/>
                <w:color w:val="C0483F"/>
                <w:sz w:val="16"/>
                <w:szCs w:val="16"/>
              </w:rPr>
              <w:t xml:space="preserve">CHECKPOINT  </w:t>
            </w:r>
            <w:r>
              <w:rPr>
                <w:b/>
                <w:bCs/>
                <w:color w:val="353A7C"/>
                <w:sz w:val="19"/>
                <w:szCs w:val="19"/>
              </w:rPr>
              <w:t xml:space="preserve">13.  </w:t>
            </w:r>
            <w:r>
              <w:rPr>
                <w:sz w:val="19"/>
                <w:szCs w:val="19"/>
              </w:rPr>
              <w:t xml:space="preserve">Under U.S. GAAP, a public company tests goodwill. Which statement is correct?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The loss is measured against the implied fair value of goodwill.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The loss is the reporting unit's carrying amount minus its fair value, capped at goodwill.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Goodwill is amortized over ten years and tested only when indicators exist.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Goodwill impairment is reversed if the unit's fair value recovers.</w:t>
            </w:r>
          </w:p>
          <w:p>
            <w:pPr>
              <w:spacing w:before="20" w:after="50"/>
            </w:pPr>
            <w:r>
              <w:rPr>
                <w:color w:val="C0483F"/>
                <w:sz w:val="17"/>
                <w:szCs w:val="17"/>
              </w:rPr>
              <w:t xml:space="preserve">If you got it wrong: redo the READ THE MODEL questions of cycle A with the model in front of you.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1056"/>
        <w:gridCol w:w="8544"/>
      </w:tblGrid>
      <w:tr>
        <w:tc>
          <w:tcPr>
            <w:tcW w:type="pct" w:w="550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CYCLE B</w:t>
            </w:r>
          </w:p>
        </w:tc>
        <w:tc>
          <w:tcPr>
            <w:tcW w:type="pct" w:w="4450"/>
            <w:shd w:fill="F2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353A7C"/>
                <w:sz w:val="22"/>
                <w:szCs w:val="22"/>
              </w:rPr>
              <w:t xml:space="preserve">The words this section uses precisely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ORIENT</w:t>
            </w:r>
          </w:p>
        </w:tc>
      </w:tr>
    </w:tbl>
    <w:p>
      <w:pPr>
        <w:pBdr>
          <w:top w:val="single" w:sz="6" w:space="1" w:color="6B7280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14.  </w:t>
      </w:r>
      <w:r>
        <w:rPr>
          <w:sz w:val="19"/>
          <w:szCs w:val="19"/>
        </w:rPr>
        <w:t xml:space="preserve">A term in the exam means exactly what the book defines it to mean, whatever it means in ordinary English.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MODEL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963"/>
        <w:gridCol w:w="4637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The English the exam uses, and what it translates</w:t>
            </w:r>
          </w:p>
        </w:tc>
      </w:tr>
      <w:tr>
        <w:tc>
          <w:tcPr>
            <w:tcW w:type="pct" w:w="2585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English (exam term)</w:t>
            </w:r>
          </w:p>
        </w:tc>
        <w:tc>
          <w:tcPr>
            <w:tcW w:type="pct" w:w="2415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the Arabic it translates</w:t>
            </w:r>
          </w:p>
        </w:tc>
      </w:tr>
      <w:tr>
        <w:tc>
          <w:tcPr>
            <w:tcW w:type="pct" w:w="2585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salvage value</w:t>
            </w:r>
          </w:p>
        </w:tc>
        <w:tc>
          <w:tcPr>
            <w:tcW w:type="pct" w:w="2415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القيمة المتبقية (قيمة الخردة)</w:t>
            </w:r>
          </w:p>
        </w:tc>
      </w:tr>
      <w:tr>
        <w:tc>
          <w:tcPr>
            <w:tcW w:type="pct" w:w="2585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goodwill</w:t>
            </w:r>
          </w:p>
        </w:tc>
        <w:tc>
          <w:tcPr>
            <w:tcW w:type="pct" w:w="2415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الشهرة</w:t>
            </w:r>
          </w:p>
        </w:tc>
      </w:tr>
      <w:tr>
        <w:tc>
          <w:tcPr>
            <w:tcW w:type="pct" w:w="2585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straight-line method</w:t>
            </w:r>
          </w:p>
        </w:tc>
        <w:tc>
          <w:tcPr>
            <w:tcW w:type="pct" w:w="2415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طريقة القسط الثابت</w:t>
            </w:r>
          </w:p>
        </w:tc>
      </w:tr>
      <w:tr>
        <w:tc>
          <w:tcPr>
            <w:tcW w:type="pct" w:w="2585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involuntary conversion</w:t>
            </w:r>
          </w:p>
        </w:tc>
        <w:tc>
          <w:tcPr>
            <w:tcW w:type="pct" w:w="2415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التحويل غير الإرادي</w:t>
            </w:r>
          </w:p>
        </w:tc>
      </w:tr>
      <w:tr>
        <w:tc>
          <w:tcPr>
            <w:tcW w:type="pct" w:w="2585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indefinite-lived intangible asset</w:t>
            </w:r>
          </w:p>
        </w:tc>
        <w:tc>
          <w:tcPr>
            <w:tcW w:type="pct" w:w="2415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أصل غير ملموس غير محدد العمر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READ THE MODEL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24"/>
      </w:pPr>
      <w:r>
        <w:rPr>
          <w:sz w:val="19"/>
          <w:szCs w:val="19"/>
        </w:rPr>
        <w:t xml:space="preserve">Write the letter of the Arabic term beside each English term. Every term is used once.</w:t>
      </w:r>
    </w:p>
    <w:tbl>
      <w:tblPr>
        <w:tblW w:type="pct" w:w="100%"/>
        <w:tblLayout w:type="fixed"/>
        <w:tblBorders>
          <w:top w:val="single" w:color="8186EF" w:sz="4"/>
          <w:left w:val="single" w:color="8186EF" w:sz="4"/>
          <w:bottom w:val="single" w:color="8186EF" w:sz="4"/>
          <w:right w:val="single" w:color="8186EF" w:sz="4"/>
          <w:insideH w:val="single" w:color="8186EF" w:sz="4"/>
          <w:insideV w:val="single" w:color="8186EF" w:sz="4"/>
        </w:tblBorders>
      </w:tblPr>
      <w:tblGrid>
        <w:gridCol w:w="4800"/>
        <w:gridCol w:w="4800"/>
      </w:tblGrid>
      <w:tr>
        <w:tc>
          <w:tcPr>
            <w:tcW w:type="pct" w:w="25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18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A  </w:t>
            </w:r>
            <w:r>
              <w:rPr>
                <w:sz w:val="16"/>
                <w:szCs w:val="16"/>
              </w:rPr>
              <w:t xml:space="preserve">الشهرة</w:t>
            </w:r>
          </w:p>
        </w:tc>
        <w:tc>
          <w:tcPr>
            <w:tcW w:type="pct" w:w="25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18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D  </w:t>
            </w:r>
            <w:r>
              <w:rPr>
                <w:sz w:val="16"/>
                <w:szCs w:val="16"/>
              </w:rPr>
              <w:t xml:space="preserve">أصل غير ملموس غير محدد العمر</w:t>
            </w:r>
          </w:p>
        </w:tc>
      </w:tr>
      <w:tr>
        <w:tc>
          <w:tcPr>
            <w:tcW w:type="pct" w:w="25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18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B  </w:t>
            </w:r>
            <w:r>
              <w:rPr>
                <w:sz w:val="16"/>
                <w:szCs w:val="16"/>
              </w:rPr>
              <w:t xml:space="preserve">التحويل غير الإرادي</w:t>
            </w:r>
          </w:p>
        </w:tc>
        <w:tc>
          <w:tcPr>
            <w:tcW w:type="pct" w:w="25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18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E  </w:t>
            </w:r>
            <w:r>
              <w:rPr>
                <w:sz w:val="16"/>
                <w:szCs w:val="16"/>
              </w:rPr>
              <w:t xml:space="preserve">طريقة القسط الثابت</w:t>
            </w:r>
          </w:p>
        </w:tc>
      </w:tr>
      <w:tr>
        <w:tc>
          <w:tcPr>
            <w:tcW w:type="pct" w:w="25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18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C  </w:t>
            </w:r>
            <w:r>
              <w:rPr>
                <w:sz w:val="16"/>
                <w:szCs w:val="16"/>
              </w:rPr>
              <w:t xml:space="preserve">القيمة المتبقية (قيمة الخردة)</w:t>
            </w:r>
          </w:p>
        </w:tc>
        <w:tc>
          <w:tcPr>
            <w:tcW w:type="pct" w:w="25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24" w:after="24"/>
            </w:pPr>
            <w:r>
              <w:rPr>
                <w:sz w:val="16"/>
                <w:szCs w:val="16"/>
              </w:rPr>
              <w:t xml:space="preserve"/>
            </w:r>
          </w:p>
        </w:tc>
      </w:tr>
    </w:tbl>
    <w:p/>
    <w:p>
      <w:pPr>
        <w:spacing w:before="24" w:after="24"/>
        <w:ind w:left="300" w:hanging="300"/>
      </w:pPr>
      <w:r>
        <w:rPr>
          <w:b/>
          <w:bCs/>
          <w:color w:val="353A7C"/>
          <w:sz w:val="18"/>
          <w:szCs w:val="18"/>
        </w:rPr>
        <w:t xml:space="preserve">15.  </w:t>
      </w:r>
      <w:r>
        <w:rPr>
          <w:sz w:val="18"/>
          <w:szCs w:val="18"/>
        </w:rPr>
        <w:t xml:space="preserve">salvage value</w:t>
      </w:r>
      <w:r>
        <w:rPr>
          <w:sz w:val="18"/>
          <w:szCs w:val="18"/>
        </w:rPr>
        <w:t xml:space="preserve">      </w:t>
      </w:r>
      <w:r>
        <w:rPr>
          <w:u w:val="single"/>
          <w:sz w:val="18"/>
          <w:szCs w:val="18"/>
        </w:rPr>
        <w:t xml:space="preserve">        </w:t>
      </w:r>
    </w:p>
    <w:p>
      <w:pPr>
        <w:spacing w:before="24" w:after="24"/>
        <w:ind w:left="300" w:hanging="300"/>
      </w:pPr>
      <w:r>
        <w:rPr>
          <w:b/>
          <w:bCs/>
          <w:color w:val="353A7C"/>
          <w:sz w:val="18"/>
          <w:szCs w:val="18"/>
        </w:rPr>
        <w:t xml:space="preserve">16.  </w:t>
      </w:r>
      <w:r>
        <w:rPr>
          <w:sz w:val="18"/>
          <w:szCs w:val="18"/>
        </w:rPr>
        <w:t xml:space="preserve">involuntary conversion</w:t>
      </w:r>
      <w:r>
        <w:rPr>
          <w:sz w:val="18"/>
          <w:szCs w:val="18"/>
        </w:rPr>
        <w:t xml:space="preserve">      </w:t>
      </w:r>
      <w:r>
        <w:rPr>
          <w:u w:val="single"/>
          <w:sz w:val="18"/>
          <w:szCs w:val="18"/>
        </w:rPr>
        <w:t xml:space="preserve">        </w:t>
      </w:r>
    </w:p>
    <w:p>
      <w:pPr>
        <w:spacing w:before="24" w:after="24"/>
        <w:ind w:left="300" w:hanging="300"/>
      </w:pPr>
      <w:r>
        <w:rPr>
          <w:b/>
          <w:bCs/>
          <w:color w:val="353A7C"/>
          <w:sz w:val="18"/>
          <w:szCs w:val="18"/>
        </w:rPr>
        <w:t xml:space="preserve">17.  </w:t>
      </w:r>
      <w:r>
        <w:rPr>
          <w:sz w:val="18"/>
          <w:szCs w:val="18"/>
        </w:rPr>
        <w:t xml:space="preserve">indefinite-lived intangible asset</w:t>
      </w:r>
      <w:r>
        <w:rPr>
          <w:sz w:val="18"/>
          <w:szCs w:val="18"/>
        </w:rPr>
        <w:t xml:space="preserve">      </w:t>
      </w:r>
      <w:r>
        <w:rPr>
          <w:u w:val="single"/>
          <w:sz w:val="18"/>
          <w:szCs w:val="18"/>
        </w:rPr>
        <w:t xml:space="preserve">        </w:t>
      </w:r>
    </w:p>
    <w:p>
      <w:pPr>
        <w:spacing w:before="24" w:after="24"/>
        <w:ind w:left="300" w:hanging="300"/>
      </w:pPr>
      <w:r>
        <w:rPr>
          <w:b/>
          <w:bCs/>
          <w:color w:val="353A7C"/>
          <w:sz w:val="18"/>
          <w:szCs w:val="18"/>
        </w:rPr>
        <w:t xml:space="preserve">18.  </w:t>
      </w:r>
      <w:r>
        <w:rPr>
          <w:sz w:val="18"/>
          <w:szCs w:val="18"/>
        </w:rPr>
        <w:t xml:space="preserve">straight-line method</w:t>
      </w:r>
      <w:r>
        <w:rPr>
          <w:sz w:val="18"/>
          <w:szCs w:val="18"/>
        </w:rPr>
        <w:t xml:space="preserve">      </w:t>
      </w:r>
      <w:r>
        <w:rPr>
          <w:u w:val="single"/>
          <w:sz w:val="18"/>
          <w:szCs w:val="18"/>
        </w:rPr>
        <w:t xml:space="preserve">        </w:t>
      </w:r>
    </w:p>
    <w:p>
      <w:pPr>
        <w:spacing w:before="24" w:after="24"/>
        <w:ind w:left="300" w:hanging="300"/>
      </w:pPr>
      <w:r>
        <w:rPr>
          <w:b/>
          <w:bCs/>
          <w:color w:val="353A7C"/>
          <w:sz w:val="18"/>
          <w:szCs w:val="18"/>
        </w:rPr>
        <w:t xml:space="preserve">19.  </w:t>
      </w:r>
      <w:r>
        <w:rPr>
          <w:sz w:val="18"/>
          <w:szCs w:val="18"/>
        </w:rPr>
        <w:t xml:space="preserve">goodwill</w:t>
      </w:r>
      <w:r>
        <w:rPr>
          <w:sz w:val="18"/>
          <w:szCs w:val="18"/>
        </w:rPr>
        <w:t xml:space="preserve">      </w:t>
      </w:r>
      <w:r>
        <w:rPr>
          <w:u w:val="single"/>
          <w:sz w:val="18"/>
          <w:szCs w:val="18"/>
        </w:rPr>
        <w:t xml:space="preserve">        </w:t>
      </w:r>
    </w:p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D3F7E"/>
                <w:sz w:val="17"/>
                <w:szCs w:val="17"/>
              </w:rPr>
              <w:t xml:space="preserve">APPLY</w:t>
            </w:r>
          </w:p>
        </w:tc>
      </w:tr>
    </w:tbl>
    <w:p>
      <w:pPr>
        <w:pBdr>
          <w:top w:val="single" w:sz="6" w:space="1" w:color="6D3F7E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20.  </w:t>
      </w:r>
      <w:r>
        <w:rPr>
          <w:sz w:val="19"/>
          <w:szCs w:val="19"/>
        </w:rPr>
        <w:t xml:space="preserve">Writing a term in English is part of answering the question, not an extra.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tbl>
      <w:tblPr>
        <w:tblW w:type="pct" w:w="100%"/>
        <w:tblLayout w:type="fixed"/>
        <w:tblBorders>
          <w:top w:val="single" w:color="C0483F" w:sz="12"/>
          <w:left w:val="single" w:color="C0483F" w:sz="12"/>
          <w:bottom w:val="single" w:color="C0483F" w:sz="12"/>
          <w:right w:val="single" w:color="C0483F" w:sz="12"/>
          <w:insideH w:val="single" w:color="C0483F" w:sz="12"/>
          <w:insideV w:val="single" w:color="C0483F" w:sz="12"/>
        </w:tblBorders>
      </w:tblPr>
      <w:tblGrid>
        <w:gridCol w:w="9600"/>
      </w:tblGrid>
      <w:tr>
        <w:tc>
          <w:tcPr>
            <w:tcW w:type="pct" w:w="5000"/>
            <w:shd w:fill="FBF0E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50" w:after="24"/>
            </w:pPr>
            <w:r>
              <w:rPr>
                <w:b/>
                <w:bCs/>
                <w:color w:val="C0483F"/>
                <w:sz w:val="16"/>
                <w:szCs w:val="16"/>
              </w:rPr>
              <w:t xml:space="preserve">CHECKPOINT  </w:t>
            </w:r>
            <w:r>
              <w:rPr>
                <w:b/>
                <w:bCs/>
                <w:color w:val="353A7C"/>
                <w:sz w:val="19"/>
                <w:szCs w:val="19"/>
              </w:rPr>
              <w:t xml:space="preserve">21.  </w:t>
            </w:r>
            <w:r>
              <w:rPr>
                <w:sz w:val="19"/>
                <w:szCs w:val="19"/>
              </w:rPr>
              <w:t xml:space="preserve">What is the safest way to settle a disagreement about an answer on this sheet?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find the row of the model that decides it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take the answer of whoever is more confident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leave it until the lecturer says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choose the longer option</w:t>
            </w:r>
          </w:p>
          <w:p>
            <w:pPr>
              <w:spacing w:before="20" w:after="50"/>
            </w:pPr>
            <w:r>
              <w:rPr>
                <w:color w:val="C0483F"/>
                <w:sz w:val="17"/>
                <w:szCs w:val="17"/>
              </w:rPr>
              <w:t xml:space="preserve">If you got it wrong: redo the READ THE MODEL questions of cycle B.</w:t>
            </w:r>
          </w:p>
        </w:tc>
      </w:tr>
    </w:tbl>
    <w:p/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353A7C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FROM MEMORY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353A7C"/>
                <w:sz w:val="18"/>
                <w:szCs w:val="18"/>
              </w:rPr>
              <w:t xml:space="preserve">Close the earlier pages first.</w:t>
            </w:r>
          </w:p>
        </w:tc>
      </w:tr>
    </w:tbl>
    <w:p>
      <w:pPr>
        <w:spacing w:before="30" w:after="40"/>
      </w:pPr>
      <w:r>
        <w:rPr>
          <w:b/>
          <w:bCs/>
          <w:color w:val="353A7C"/>
          <w:sz w:val="19"/>
          <w:szCs w:val="19"/>
        </w:rPr>
        <w:t xml:space="preserve">22.  </w:t>
      </w:r>
      <w:r>
        <w:rPr>
          <w:sz w:val="19"/>
          <w:szCs w:val="19"/>
        </w:rPr>
        <w:t xml:space="preserve">Rebuild the figure from this handout. Label every part and fill in every box.</w:t>
      </w:r>
    </w:p>
    <w:p>
      <w:pPr>
        <w:spacing w:after="40" w:before="90"/>
        <w:jc w:val="center"/>
      </w:pPr>
      <w:r>
        <w:drawing>
          <wp:inline distT="0" distB="0" distL="0" distR="0">
            <wp:extent cx="5734050" cy="3561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56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1F7A6A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TEACH IT BACK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1F7A6A"/>
                <w:sz w:val="18"/>
                <w:szCs w:val="18"/>
              </w:rPr>
              <w:t xml:space="preserve">Write it for a classmate who missed this session — not for the marker.</w:t>
            </w:r>
          </w:p>
        </w:tc>
      </w:tr>
    </w:tbl>
    <w:tbl>
      <w:tblPr>
        <w:tblW w:type="pct" w:w="100%"/>
        <w:tblLayout w:type="fixed"/>
        <w:tblBorders>
          <w:top w:val="single" w:color="1F7A6A" w:sz="10"/>
          <w:left w:val="single" w:color="1F7A6A" w:sz="10"/>
          <w:bottom w:val="single" w:color="1F7A6A" w:sz="10"/>
          <w:right w:val="single" w:color="1F7A6A" w:sz="10"/>
          <w:insideH w:val="single" w:color="1F7A6A" w:sz="10"/>
          <w:insideV w:val="single" w:color="1F7A6A" w:sz="10"/>
        </w:tblBorders>
      </w:tblPr>
      <w:tblGrid>
        <w:gridCol w:w="9600"/>
      </w:tblGrid>
      <w:tr>
        <w:tc>
          <w:tcPr>
            <w:tcW w:type="pct" w:w="5000"/>
            <w:shd w:fill="EEF6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24"/>
            </w:pPr>
            <w:r>
              <w:rPr>
                <w:b/>
                <w:bCs/>
                <w:color w:val="1F7A6A"/>
                <w:sz w:val="19"/>
                <w:szCs w:val="19"/>
              </w:rPr>
              <w:t xml:space="preserve">23.  </w:t>
            </w:r>
            <w:r>
              <w:rPr>
                <w:sz w:val="19"/>
                <w:szCs w:val="19"/>
              </w:rPr>
              <w:t xml:space="preserve">In three or four sentences, write what this section settles and the one rule a reader has to take away.</w:t>
            </w:r>
          </w:p>
          <w:p>
            <w:pPr>
              <w:spacing w:after="36"/>
            </w:pPr>
            <w:r>
              <w:rPr>
                <w:color w:val="6B7280"/>
                <w:sz w:val="16"/>
                <w:szCs w:val="16"/>
              </w:rPr>
              <w:t xml:space="preserve">every one of these words must appear:  </w:t>
            </w:r>
            <w:r>
              <w:rPr>
                <w:b/>
                <w:bCs/>
                <w:color w:val="1F7A6A"/>
                <w:sz w:val="16"/>
                <w:szCs w:val="16"/>
              </w:rPr>
              <w:t xml:space="preserve">salvage value  ·  goodwill  ·  straight-line method  ·  involuntary conversion</w:t>
            </w:r>
          </w:p>
        </w:tc>
      </w:tr>
    </w:tbl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/>
    <w:p>
      <w:pPr>
        <w:sectPr>
          <w:headerReference w:type="default" r:id="rIdHdr3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10.4</w:t>
      </w:r>
    </w:p>
    <w:p>
      <w:pPr>
        <w:spacing w:after="8"/>
      </w:pPr>
      <w:r>
        <w:rPr>
          <w:color w:val="23265A"/>
          <w:sz w:val="22"/>
          <w:szCs w:val="22"/>
        </w:rPr>
        <w:t xml:space="preserve">Disposal of fixed assets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section 10.4 of the book</w:t>
      </w:r>
    </w:p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9600"/>
      </w:tblGrid>
      <w:tr>
        <w:tc>
          <w:tcPr>
            <w:tcW w:type="pct" w:w="5000"/>
            <w:shd w:fill="353A7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50" w:after="16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Before you start</w:t>
            </w:r>
          </w:p>
          <w:p>
            <w:pPr>
              <w:spacing w:before="0" w:after="50"/>
            </w:pPr>
            <w:r>
              <w:rPr>
                <w:color w:val="E8EAF6"/>
                <w:sz w:val="16"/>
                <w:szCs w:val="16"/>
              </w:rPr>
              <w:t xml:space="preserve">Three summaries of this handout, in the book’s own words. Read all three first: together they are the whole session. Then fill the gaps, guessing where you have to.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2261"/>
        <w:gridCol w:w="2809"/>
        <w:gridCol w:w="4530"/>
      </w:tblGrid>
      <w:tr>
        <w:tc>
          <w:tcPr>
            <w:tcW w:type="pct" w:w="5000"/>
            <w:gridSpan w:val="3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What this handout settles, cycle by cycle</w:t>
            </w:r>
          </w:p>
        </w:tc>
      </w:tr>
      <w:tr>
        <w:tc>
          <w:tcPr>
            <w:tcW w:type="pct" w:w="117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In this handout</w:t>
            </w:r>
          </w:p>
        </w:tc>
        <w:tc>
          <w:tcPr>
            <w:tcW w:type="pct" w:w="1463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What you will read</w:t>
            </w:r>
          </w:p>
        </w:tc>
        <w:tc>
          <w:tcPr>
            <w:tcW w:type="pct" w:w="2359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How you check it</w:t>
            </w:r>
          </w:p>
        </w:tc>
      </w:tr>
      <w:tr>
        <w:tc>
          <w:tcPr>
            <w:tcW w:type="pct" w:w="117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Disposal of fixed assets</w:t>
            </w:r>
          </w:p>
        </w:tc>
        <w:tc>
          <w:tcPr>
            <w:tcW w:type="pct" w:w="1463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 figure to read</w:t>
            </w:r>
          </w:p>
        </w:tc>
        <w:tc>
          <w:tcPr>
            <w:tcW w:type="pct" w:w="2359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Which of these did this cycle settle?</w:t>
            </w:r>
          </w:p>
        </w:tc>
      </w:tr>
      <w:tr>
        <w:tc>
          <w:tcPr>
            <w:tcW w:type="pct" w:w="1178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The words this section uses precisely</w:t>
            </w:r>
          </w:p>
        </w:tc>
        <w:tc>
          <w:tcPr>
            <w:tcW w:type="pct" w:w="1463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The English the exam uses, and what it translates</w:t>
            </w:r>
          </w:p>
        </w:tc>
        <w:tc>
          <w:tcPr>
            <w:tcW w:type="pct" w:w="2359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What is the safest way to settle a disagreement about an answer on this sheet?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992"/>
        <w:gridCol w:w="4608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Words this handout uses precisely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Words this handout uses precisely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tick it if you could already use it in a sentence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useful life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amortization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double-declining-balance method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commercial substance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research and development (R&amp;D)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</w:tbl>
    <w:p/>
    <w:p>
      <w:pPr>
        <w:spacing w:before="40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1.  </w:t>
      </w:r>
      <w:r>
        <w:rPr>
          <w:sz w:val="19"/>
          <w:szCs w:val="19"/>
        </w:rPr>
        <w:t xml:space="preserve">Where the section starts — Fill every gap. The list holds more words than there are gaps, so one or two of them are not used.</w:t>
      </w:r>
    </w:p>
    <w:p>
      <w:pPr>
        <w:spacing w:before="20" w:after="26"/>
        <w:ind w:left="300"/>
      </w:pPr>
      <w:r>
        <w:rPr>
          <w:color w:val="6B7280"/>
          <w:sz w:val="16"/>
          <w:szCs w:val="16"/>
        </w:rPr>
        <w:t xml:space="preserve">choose from:  </w:t>
      </w:r>
      <w:r>
        <w:rPr>
          <w:b/>
          <w:bCs/>
          <w:color w:val="353A7C"/>
          <w:sz w:val="16"/>
          <w:szCs w:val="16"/>
        </w:rPr>
        <w:t xml:space="preserve">useful life   ·   involuntary conversion   ·   carrying amount   ·   revenue expenditure</w:t>
      </w:r>
    </w:p>
    <w:p>
      <w:pPr>
        <w:spacing w:before="36" w:after="36"/>
        <w:ind w:left="300"/>
      </w:pPr>
      <w:r>
        <w:rPr>
          <w:sz w:val="19"/>
          <w:szCs w:val="19"/>
        </w:rPr>
        <w:t xml:space="preserve">Disposal of the Dubai oven: update depreciation, find the </w:t>
      </w:r>
      <w:r>
        <w:rPr>
          <w:u w:val="single"/>
          <w:sz w:val="19"/>
          <w:szCs w:val="19"/>
        </w:rPr>
        <w:t xml:space="preserve">                 </w:t>
      </w:r>
      <w:r>
        <w:rPr>
          <w:sz w:val="19"/>
          <w:szCs w:val="19"/>
        </w:rPr>
        <w:t xml:space="preserve">, then the gain. In an </w:t>
      </w:r>
      <w:r>
        <w:rPr>
          <w:u w:val="single"/>
          <w:sz w:val="19"/>
          <w:szCs w:val="19"/>
        </w:rPr>
        <w:t xml:space="preserve">                        </w:t>
      </w:r>
      <w:r>
        <w:rPr>
          <w:sz w:val="19"/>
          <w:szCs w:val="19"/>
        </w:rPr>
        <w:t xml:space="preserve">, such as a fire or a government expropriation, the company records a gain or loss even if it reinvests the insurance money.</w:t>
      </w:r>
    </w:p>
    <w:p>
      <w:pPr>
        <w:spacing w:before="40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2.  </w:t>
      </w:r>
      <w:r>
        <w:rPr>
          <w:sz w:val="19"/>
          <w:szCs w:val="19"/>
        </w:rPr>
        <w:t xml:space="preserve">What it settles in the middle — Fill every gap. The list holds more words than there are gaps, so one or two of them are not used.</w:t>
      </w:r>
    </w:p>
    <w:p>
      <w:pPr>
        <w:spacing w:before="20" w:after="26"/>
        <w:ind w:left="300"/>
      </w:pPr>
      <w:r>
        <w:rPr>
          <w:color w:val="6B7280"/>
          <w:sz w:val="16"/>
          <w:szCs w:val="16"/>
        </w:rPr>
        <w:t xml:space="preserve">choose from:  </w:t>
      </w:r>
      <w:r>
        <w:rPr>
          <w:b/>
          <w:bCs/>
          <w:color w:val="353A7C"/>
          <w:sz w:val="16"/>
          <w:szCs w:val="16"/>
        </w:rPr>
        <w:t xml:space="preserve">carrying amount   ·   involuntary conversion   ·   revenue expenditure   ·   useful life</w:t>
      </w:r>
    </w:p>
    <w:p>
      <w:pPr>
        <w:spacing w:before="36" w:after="36"/>
        <w:ind w:left="300"/>
      </w:pPr>
      <w:r>
        <w:rPr>
          <w:sz w:val="19"/>
          <w:szCs w:val="19"/>
        </w:rPr>
        <w:t xml:space="preserve">The gain or loss is part of income from continuing operations. Disposal of the Dubai oven: update depreciation, find the </w:t>
      </w:r>
      <w:r>
        <w:rPr>
          <w:u w:val="single"/>
          <w:sz w:val="19"/>
          <w:szCs w:val="19"/>
        </w:rPr>
        <w:t xml:space="preserve">                 </w:t>
      </w:r>
      <w:r>
        <w:rPr>
          <w:sz w:val="19"/>
          <w:szCs w:val="19"/>
        </w:rPr>
        <w:t xml:space="preserve">, then the gain. In an </w:t>
      </w:r>
      <w:r>
        <w:rPr>
          <w:u w:val="single"/>
          <w:sz w:val="19"/>
          <w:szCs w:val="19"/>
        </w:rPr>
        <w:t xml:space="preserve">                        </w:t>
      </w:r>
      <w:r>
        <w:rPr>
          <w:sz w:val="19"/>
          <w:szCs w:val="19"/>
        </w:rPr>
        <w:t xml:space="preserve">, such as a fire or a government expropriation, the company records a gain or loss even if it reinvests the insurance money.</w:t>
      </w:r>
    </w:p>
    <w:p>
      <w:pPr>
        <w:spacing w:before="40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3.  </w:t>
      </w:r>
      <w:r>
        <w:rPr>
          <w:sz w:val="19"/>
          <w:szCs w:val="19"/>
        </w:rPr>
        <w:t xml:space="preserve">Where it ends — Fill every gap. The list holds more words than there are gaps, so one or two of them are not used.</w:t>
      </w:r>
    </w:p>
    <w:p>
      <w:pPr>
        <w:spacing w:before="20" w:after="26"/>
        <w:ind w:left="300"/>
      </w:pPr>
      <w:r>
        <w:rPr>
          <w:color w:val="6B7280"/>
          <w:sz w:val="16"/>
          <w:szCs w:val="16"/>
        </w:rPr>
        <w:t xml:space="preserve">choose from:  </w:t>
      </w:r>
      <w:r>
        <w:rPr>
          <w:b/>
          <w:bCs/>
          <w:color w:val="353A7C"/>
          <w:sz w:val="16"/>
          <w:szCs w:val="16"/>
        </w:rPr>
        <w:t xml:space="preserve">commercial substance   ·   useful life   ·   carrying amount   ·   revenue expenditure</w:t>
      </w:r>
    </w:p>
    <w:p>
      <w:pPr>
        <w:spacing w:before="36" w:after="36"/>
        <w:ind w:left="300"/>
      </w:pPr>
      <w:r>
        <w:rPr>
          <w:sz w:val="19"/>
          <w:szCs w:val="19"/>
        </w:rPr>
        <w:t xml:space="preserve">In an exchange of assets with </w:t>
      </w:r>
      <w:r>
        <w:rPr>
          <w:u w:val="single"/>
          <w:sz w:val="19"/>
          <w:szCs w:val="19"/>
        </w:rPr>
        <w:t xml:space="preserve">                      </w:t>
      </w:r>
      <w:r>
        <w:rPr>
          <w:sz w:val="19"/>
          <w:szCs w:val="19"/>
        </w:rPr>
        <w:t xml:space="preserve">, the new asset is recorded at fair value and the gain or loss is recognized; without commercial substance, the exchange is recorded at book value. Record depreciation up to the sale date before you compute the gain or loss. Compare proceeds with the </w:t>
      </w:r>
      <w:r>
        <w:rPr>
          <w:u w:val="single"/>
          <w:sz w:val="19"/>
          <w:szCs w:val="19"/>
        </w:rPr>
        <w:t xml:space="preserve">                 </w:t>
      </w:r>
      <w:r>
        <w:rPr>
          <w:sz w:val="19"/>
          <w:szCs w:val="19"/>
        </w:rPr>
        <w:t xml:space="preserve">, not with the original cost.</w:t>
      </w:r>
    </w:p>
    <w:p>
      <w:pPr>
        <w:pageBreakBefore w:val="true"/>
        <w:spacing w:after="0"/>
      </w:pPr>
      <w:r>
        <w:rPr>
          <w:sz w:val="2"/>
          <w:szCs w:val="2"/>
        </w:rPr>
        <w:t xml:space="preserve"> </w:t>
      </w:r>
    </w:p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1056"/>
        <w:gridCol w:w="8544"/>
      </w:tblGrid>
      <w:tr>
        <w:tc>
          <w:tcPr>
            <w:tcW w:type="pct" w:w="550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CYCLE A</w:t>
            </w:r>
          </w:p>
        </w:tc>
        <w:tc>
          <w:tcPr>
            <w:tcW w:type="pct" w:w="4450"/>
            <w:shd w:fill="F2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353A7C"/>
                <w:sz w:val="22"/>
                <w:szCs w:val="22"/>
              </w:rPr>
              <w:t xml:space="preserve">Disposal of fixed assets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ORIENT</w:t>
            </w:r>
            <w:r>
              <w:rPr>
                <w:color w:val="6B7280"/>
                <w:sz w:val="18"/>
                <w:szCs w:val="18"/>
              </w:rPr>
              <w:t xml:space="preserve">      One claim. Decide now; you will check it in a moment.</w:t>
            </w:r>
          </w:p>
        </w:tc>
      </w:tr>
    </w:tbl>
    <w:p>
      <w:pPr>
        <w:pBdr>
          <w:top w:val="single" w:sz="6" w:space="1" w:color="6B7280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4.  </w:t>
      </w:r>
      <w:r>
        <w:rPr>
          <w:sz w:val="19"/>
          <w:szCs w:val="19"/>
        </w:rPr>
        <w:t xml:space="preserve">Every number in a financial statement belongs to an element the framework defines.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MODEL</w:t>
            </w:r>
            <w:r>
              <w:rPr>
                <w:color w:val="6B7280"/>
                <w:sz w:val="18"/>
                <w:szCs w:val="18"/>
              </w:rPr>
              <w:t xml:space="preserve">      Read it before you answer anything below it.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after="40" w:before="90"/>
        <w:jc w:val="center"/>
      </w:pPr>
      <w:r>
        <w:drawing>
          <wp:inline distT="0" distB="0" distL="0" distR="0">
            <wp:extent cx="5734050" cy="3561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56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READ THE MODEL</w:t>
            </w:r>
            <w:r>
              <w:rPr>
                <w:color w:val="6B7280"/>
                <w:sz w:val="18"/>
                <w:szCs w:val="18"/>
              </w:rPr>
              <w:t xml:space="preserve">      Every answer is printed above. Find it, do not recall it.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5.  </w:t>
      </w:r>
      <w:r>
        <w:rPr>
          <w:sz w:val="19"/>
          <w:szCs w:val="19"/>
        </w:rPr>
        <w:t xml:space="preserve">Which part of this chapter is section 10.1?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Recommending a depreciation method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Depreciation methods and their effects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Impairment of long-lived assets, intangibles and goodwill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The cost of property, plant and equipment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6.  </w:t>
      </w:r>
      <w:r>
        <w:rPr>
          <w:sz w:val="19"/>
          <w:szCs w:val="19"/>
        </w:rPr>
        <w:t xml:space="preserve">Which part of this chapter is section 10.2?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Depreciation methods and their effects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Disposal of fixed assets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Recommending a depreciation method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The cost of property, plant and equipment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7.  </w:t>
      </w:r>
      <w:r>
        <w:rPr>
          <w:sz w:val="19"/>
          <w:szCs w:val="19"/>
        </w:rPr>
        <w:t xml:space="preserve">Which part of this chapter is section 10.3?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The cost of property, plant and equipment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Recommending a depreciation method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Depreciation methods and their effects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Disposal of fixed assets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8.  </w:t>
      </w:r>
      <w:r>
        <w:rPr>
          <w:sz w:val="19"/>
          <w:szCs w:val="19"/>
        </w:rPr>
        <w:t xml:space="preserve">Which part of this chapter is section 10.4?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Recommending a depreciation method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Disposal of fixed assets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Depreciation methods and their effects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The cost of property, plant and equipment</w:t>
      </w:r>
    </w:p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D3F7E"/>
                <w:sz w:val="17"/>
                <w:szCs w:val="17"/>
              </w:rPr>
              <w:t xml:space="preserve">APPLY</w:t>
            </w:r>
            <w:r>
              <w:rPr>
                <w:color w:val="6B7280"/>
                <w:sz w:val="18"/>
                <w:szCs w:val="18"/>
              </w:rPr>
              <w:t xml:space="preserve">      No help on this move.</w:t>
            </w:r>
          </w:p>
        </w:tc>
      </w:tr>
    </w:tbl>
    <w:p>
      <w:pPr>
        <w:pBdr>
          <w:top w:val="single" w:sz="6" w:space="1" w:color="6D3F7E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9.  </w:t>
      </w:r>
      <w:r>
        <w:rPr>
          <w:sz w:val="19"/>
          <w:szCs w:val="19"/>
        </w:rPr>
        <w:t xml:space="preserve">The rule you have just written is the book’s own rule.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1F7A6A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WORK IN PAIRS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1F7A6A"/>
                <w:sz w:val="18"/>
                <w:szCs w:val="18"/>
              </w:rPr>
              <w:t xml:space="preserve">Compare every answer on this page with your partner before you read any key.</w:t>
            </w:r>
          </w:p>
        </w:tc>
      </w:tr>
    </w:tbl>
    <w:p>
      <w:pPr>
        <w:spacing w:before="20" w:after="50"/>
      </w:pPr>
      <w:r>
        <w:rPr>
          <w:b/>
          <w:bCs/>
          <w:color w:val="1F7A6A"/>
          <w:sz w:val="16"/>
          <w:szCs w:val="16"/>
        </w:rPr>
        <w:t xml:space="preserve">If you disagree: </w:t>
      </w:r>
      <w:r>
        <w:rPr>
          <w:color w:val="6B7280"/>
          <w:sz w:val="16"/>
          <w:szCs w:val="16"/>
        </w:rPr>
        <w:t xml:space="preserve">go back to the model and find the row that settles it. The row decides, not the louder voice.</w:t>
      </w:r>
    </w:p>
    <w:tbl>
      <w:tblPr>
        <w:tblW w:type="pct" w:w="100%"/>
        <w:tblLayout w:type="fixed"/>
        <w:tblBorders>
          <w:top w:val="single" w:color="C0483F" w:sz="12"/>
          <w:left w:val="single" w:color="C0483F" w:sz="12"/>
          <w:bottom w:val="single" w:color="C0483F" w:sz="12"/>
          <w:right w:val="single" w:color="C0483F" w:sz="12"/>
          <w:insideH w:val="single" w:color="C0483F" w:sz="12"/>
          <w:insideV w:val="single" w:color="C0483F" w:sz="12"/>
        </w:tblBorders>
      </w:tblPr>
      <w:tblGrid>
        <w:gridCol w:w="9600"/>
      </w:tblGrid>
      <w:tr>
        <w:tc>
          <w:tcPr>
            <w:tcW w:type="pct" w:w="5000"/>
            <w:shd w:fill="FBF0E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50" w:after="24"/>
            </w:pPr>
            <w:r>
              <w:rPr>
                <w:b/>
                <w:bCs/>
                <w:color w:val="C0483F"/>
                <w:sz w:val="16"/>
                <w:szCs w:val="16"/>
              </w:rPr>
              <w:t xml:space="preserve">CHECKPOINT  </w:t>
            </w:r>
            <w:r>
              <w:rPr>
                <w:b/>
                <w:bCs/>
                <w:color w:val="353A7C"/>
                <w:sz w:val="19"/>
                <w:szCs w:val="19"/>
              </w:rPr>
              <w:t xml:space="preserve">10.  </w:t>
            </w:r>
            <w:r>
              <w:rPr>
                <w:sz w:val="19"/>
                <w:szCs w:val="19"/>
              </w:rPr>
              <w:t xml:space="preserve">Which of these did this cycle settle?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the rule and where it comes from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nothing in particular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only the vocabulary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only the arithmetic</w:t>
            </w:r>
          </w:p>
          <w:p>
            <w:pPr>
              <w:spacing w:before="20" w:after="50"/>
            </w:pPr>
            <w:r>
              <w:rPr>
                <w:color w:val="C0483F"/>
                <w:sz w:val="17"/>
                <w:szCs w:val="17"/>
              </w:rPr>
              <w:t xml:space="preserve">If you got it wrong: redo the READ THE MODEL questions of cycle A.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1056"/>
        <w:gridCol w:w="8544"/>
      </w:tblGrid>
      <w:tr>
        <w:tc>
          <w:tcPr>
            <w:tcW w:type="pct" w:w="550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CYCLE B</w:t>
            </w:r>
          </w:p>
        </w:tc>
        <w:tc>
          <w:tcPr>
            <w:tcW w:type="pct" w:w="4450"/>
            <w:shd w:fill="F2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353A7C"/>
                <w:sz w:val="22"/>
                <w:szCs w:val="22"/>
              </w:rPr>
              <w:t xml:space="preserve">The words this section uses precisely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ORIENT</w:t>
            </w:r>
          </w:p>
        </w:tc>
      </w:tr>
    </w:tbl>
    <w:p>
      <w:pPr>
        <w:pBdr>
          <w:top w:val="single" w:sz="6" w:space="1" w:color="6B7280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11.  </w:t>
      </w:r>
      <w:r>
        <w:rPr>
          <w:sz w:val="19"/>
          <w:szCs w:val="19"/>
        </w:rPr>
        <w:t xml:space="preserve">A term in the exam means exactly what the book defines it to mean, whatever it means in ordinary English.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MODEL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992"/>
        <w:gridCol w:w="4608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The English the exam uses, and what it translates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English (exam term)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the Arabic it translates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useful life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العمر الإنتاجي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amortization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الإطفاء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double-declining-balance method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طريقة القسط المتناقص المضاعف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commercial substance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الجوهر التجاري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research and development (R&amp;D)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البحث والتطوير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READ THE MODEL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24"/>
      </w:pPr>
      <w:r>
        <w:rPr>
          <w:sz w:val="19"/>
          <w:szCs w:val="19"/>
        </w:rPr>
        <w:t xml:space="preserve">Write the letter of the Arabic term beside each English term. Every term is used once.</w:t>
      </w:r>
    </w:p>
    <w:tbl>
      <w:tblPr>
        <w:tblW w:type="pct" w:w="100%"/>
        <w:tblLayout w:type="fixed"/>
        <w:tblBorders>
          <w:top w:val="single" w:color="8186EF" w:sz="4"/>
          <w:left w:val="single" w:color="8186EF" w:sz="4"/>
          <w:bottom w:val="single" w:color="8186EF" w:sz="4"/>
          <w:right w:val="single" w:color="8186EF" w:sz="4"/>
          <w:insideH w:val="single" w:color="8186EF" w:sz="4"/>
          <w:insideV w:val="single" w:color="8186EF" w:sz="4"/>
        </w:tblBorders>
      </w:tblPr>
      <w:tblGrid>
        <w:gridCol w:w="4800"/>
        <w:gridCol w:w="4800"/>
      </w:tblGrid>
      <w:tr>
        <w:tc>
          <w:tcPr>
            <w:tcW w:type="pct" w:w="25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18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A  </w:t>
            </w:r>
            <w:r>
              <w:rPr>
                <w:sz w:val="16"/>
                <w:szCs w:val="16"/>
              </w:rPr>
              <w:t xml:space="preserve">الجوهر التجاري</w:t>
            </w:r>
          </w:p>
        </w:tc>
        <w:tc>
          <w:tcPr>
            <w:tcW w:type="pct" w:w="25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18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D  </w:t>
            </w:r>
            <w:r>
              <w:rPr>
                <w:sz w:val="16"/>
                <w:szCs w:val="16"/>
              </w:rPr>
              <w:t xml:space="preserve">الإطفاء</w:t>
            </w:r>
          </w:p>
        </w:tc>
      </w:tr>
      <w:tr>
        <w:tc>
          <w:tcPr>
            <w:tcW w:type="pct" w:w="25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18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B  </w:t>
            </w:r>
            <w:r>
              <w:rPr>
                <w:sz w:val="16"/>
                <w:szCs w:val="16"/>
              </w:rPr>
              <w:t xml:space="preserve">البحث والتطوير</w:t>
            </w:r>
          </w:p>
        </w:tc>
        <w:tc>
          <w:tcPr>
            <w:tcW w:type="pct" w:w="25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18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E  </w:t>
            </w:r>
            <w:r>
              <w:rPr>
                <w:sz w:val="16"/>
                <w:szCs w:val="16"/>
              </w:rPr>
              <w:t xml:space="preserve">طريقة القسط المتناقص المضاعف</w:t>
            </w:r>
          </w:p>
        </w:tc>
      </w:tr>
      <w:tr>
        <w:tc>
          <w:tcPr>
            <w:tcW w:type="pct" w:w="25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18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C  </w:t>
            </w:r>
            <w:r>
              <w:rPr>
                <w:sz w:val="16"/>
                <w:szCs w:val="16"/>
              </w:rPr>
              <w:t xml:space="preserve">العمر الإنتاجي</w:t>
            </w:r>
          </w:p>
        </w:tc>
        <w:tc>
          <w:tcPr>
            <w:tcW w:type="pct" w:w="25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24" w:after="24"/>
            </w:pPr>
            <w:r>
              <w:rPr>
                <w:sz w:val="16"/>
                <w:szCs w:val="16"/>
              </w:rPr>
              <w:t xml:space="preserve"/>
            </w:r>
          </w:p>
        </w:tc>
      </w:tr>
    </w:tbl>
    <w:p/>
    <w:p>
      <w:pPr>
        <w:spacing w:before="24" w:after="24"/>
        <w:ind w:left="300" w:hanging="300"/>
      </w:pPr>
      <w:r>
        <w:rPr>
          <w:b/>
          <w:bCs/>
          <w:color w:val="353A7C"/>
          <w:sz w:val="18"/>
          <w:szCs w:val="18"/>
        </w:rPr>
        <w:t xml:space="preserve">12.  </w:t>
      </w:r>
      <w:r>
        <w:rPr>
          <w:sz w:val="18"/>
          <w:szCs w:val="18"/>
        </w:rPr>
        <w:t xml:space="preserve">double-declining-balance method</w:t>
      </w:r>
      <w:r>
        <w:rPr>
          <w:sz w:val="18"/>
          <w:szCs w:val="18"/>
        </w:rPr>
        <w:t xml:space="preserve">      </w:t>
      </w:r>
      <w:r>
        <w:rPr>
          <w:u w:val="single"/>
          <w:sz w:val="18"/>
          <w:szCs w:val="18"/>
        </w:rPr>
        <w:t xml:space="preserve">        </w:t>
      </w:r>
    </w:p>
    <w:p>
      <w:pPr>
        <w:spacing w:before="24" w:after="24"/>
        <w:ind w:left="300" w:hanging="300"/>
      </w:pPr>
      <w:r>
        <w:rPr>
          <w:b/>
          <w:bCs/>
          <w:color w:val="353A7C"/>
          <w:sz w:val="18"/>
          <w:szCs w:val="18"/>
        </w:rPr>
        <w:t xml:space="preserve">13.  </w:t>
      </w:r>
      <w:r>
        <w:rPr>
          <w:sz w:val="18"/>
          <w:szCs w:val="18"/>
        </w:rPr>
        <w:t xml:space="preserve">research and development (R&amp;D)</w:t>
      </w:r>
      <w:r>
        <w:rPr>
          <w:sz w:val="18"/>
          <w:szCs w:val="18"/>
        </w:rPr>
        <w:t xml:space="preserve">      </w:t>
      </w:r>
      <w:r>
        <w:rPr>
          <w:u w:val="single"/>
          <w:sz w:val="18"/>
          <w:szCs w:val="18"/>
        </w:rPr>
        <w:t xml:space="preserve">        </w:t>
      </w:r>
    </w:p>
    <w:p>
      <w:pPr>
        <w:spacing w:before="24" w:after="24"/>
        <w:ind w:left="300" w:hanging="300"/>
      </w:pPr>
      <w:r>
        <w:rPr>
          <w:b/>
          <w:bCs/>
          <w:color w:val="353A7C"/>
          <w:sz w:val="18"/>
          <w:szCs w:val="18"/>
        </w:rPr>
        <w:t xml:space="preserve">14.  </w:t>
      </w:r>
      <w:r>
        <w:rPr>
          <w:sz w:val="18"/>
          <w:szCs w:val="18"/>
        </w:rPr>
        <w:t xml:space="preserve">useful life</w:t>
      </w:r>
      <w:r>
        <w:rPr>
          <w:sz w:val="18"/>
          <w:szCs w:val="18"/>
        </w:rPr>
        <w:t xml:space="preserve">      </w:t>
      </w:r>
      <w:r>
        <w:rPr>
          <w:u w:val="single"/>
          <w:sz w:val="18"/>
          <w:szCs w:val="18"/>
        </w:rPr>
        <w:t xml:space="preserve">        </w:t>
      </w:r>
    </w:p>
    <w:p>
      <w:pPr>
        <w:spacing w:before="24" w:after="24"/>
        <w:ind w:left="300" w:hanging="300"/>
      </w:pPr>
      <w:r>
        <w:rPr>
          <w:b/>
          <w:bCs/>
          <w:color w:val="353A7C"/>
          <w:sz w:val="18"/>
          <w:szCs w:val="18"/>
        </w:rPr>
        <w:t xml:space="preserve">15.  </w:t>
      </w:r>
      <w:r>
        <w:rPr>
          <w:sz w:val="18"/>
          <w:szCs w:val="18"/>
        </w:rPr>
        <w:t xml:space="preserve">commercial substance</w:t>
      </w:r>
      <w:r>
        <w:rPr>
          <w:sz w:val="18"/>
          <w:szCs w:val="18"/>
        </w:rPr>
        <w:t xml:space="preserve">      </w:t>
      </w:r>
      <w:r>
        <w:rPr>
          <w:u w:val="single"/>
          <w:sz w:val="18"/>
          <w:szCs w:val="18"/>
        </w:rPr>
        <w:t xml:space="preserve">        </w:t>
      </w:r>
    </w:p>
    <w:p>
      <w:pPr>
        <w:spacing w:before="24" w:after="24"/>
        <w:ind w:left="300" w:hanging="300"/>
      </w:pPr>
      <w:r>
        <w:rPr>
          <w:b/>
          <w:bCs/>
          <w:color w:val="353A7C"/>
          <w:sz w:val="18"/>
          <w:szCs w:val="18"/>
        </w:rPr>
        <w:t xml:space="preserve">16.  </w:t>
      </w:r>
      <w:r>
        <w:rPr>
          <w:sz w:val="18"/>
          <w:szCs w:val="18"/>
        </w:rPr>
        <w:t xml:space="preserve">amortization</w:t>
      </w:r>
      <w:r>
        <w:rPr>
          <w:sz w:val="18"/>
          <w:szCs w:val="18"/>
        </w:rPr>
        <w:t xml:space="preserve">      </w:t>
      </w:r>
      <w:r>
        <w:rPr>
          <w:u w:val="single"/>
          <w:sz w:val="18"/>
          <w:szCs w:val="18"/>
        </w:rPr>
        <w:t xml:space="preserve">        </w:t>
      </w:r>
    </w:p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D3F7E"/>
                <w:sz w:val="17"/>
                <w:szCs w:val="17"/>
              </w:rPr>
              <w:t xml:space="preserve">APPLY</w:t>
            </w:r>
          </w:p>
        </w:tc>
      </w:tr>
    </w:tbl>
    <w:p>
      <w:pPr>
        <w:pBdr>
          <w:top w:val="single" w:sz="6" w:space="1" w:color="6D3F7E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17.  </w:t>
      </w:r>
      <w:r>
        <w:rPr>
          <w:sz w:val="19"/>
          <w:szCs w:val="19"/>
        </w:rPr>
        <w:t xml:space="preserve">Writing a term in English is part of answering the question, not an extra.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  <w:tblBorders>
          <w:top w:val="single" w:color="C0483F" w:sz="12"/>
          <w:left w:val="single" w:color="C0483F" w:sz="12"/>
          <w:bottom w:val="single" w:color="C0483F" w:sz="12"/>
          <w:right w:val="single" w:color="C0483F" w:sz="12"/>
          <w:insideH w:val="single" w:color="C0483F" w:sz="12"/>
          <w:insideV w:val="single" w:color="C0483F" w:sz="12"/>
        </w:tblBorders>
      </w:tblPr>
      <w:tblGrid>
        <w:gridCol w:w="9600"/>
      </w:tblGrid>
      <w:tr>
        <w:tc>
          <w:tcPr>
            <w:tcW w:type="pct" w:w="5000"/>
            <w:shd w:fill="FBF0E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50" w:after="24"/>
            </w:pPr>
            <w:r>
              <w:rPr>
                <w:b/>
                <w:bCs/>
                <w:color w:val="C0483F"/>
                <w:sz w:val="16"/>
                <w:szCs w:val="16"/>
              </w:rPr>
              <w:t xml:space="preserve">CHECKPOINT  </w:t>
            </w:r>
            <w:r>
              <w:rPr>
                <w:b/>
                <w:bCs/>
                <w:color w:val="353A7C"/>
                <w:sz w:val="19"/>
                <w:szCs w:val="19"/>
              </w:rPr>
              <w:t xml:space="preserve">18.  </w:t>
            </w:r>
            <w:r>
              <w:rPr>
                <w:sz w:val="19"/>
                <w:szCs w:val="19"/>
              </w:rPr>
              <w:t xml:space="preserve">What is the safest way to settle a disagreement about an answer on this sheet?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find the row of the model that decides it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take the answer of whoever is more confident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leave it until the lecturer says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choose the longer option</w:t>
            </w:r>
          </w:p>
          <w:p>
            <w:pPr>
              <w:spacing w:before="20" w:after="50"/>
            </w:pPr>
            <w:r>
              <w:rPr>
                <w:color w:val="C0483F"/>
                <w:sz w:val="17"/>
                <w:szCs w:val="17"/>
              </w:rPr>
              <w:t xml:space="preserve">If you got it wrong: redo the READ THE MODEL questions of cycle B.</w:t>
            </w:r>
          </w:p>
        </w:tc>
      </w:tr>
    </w:tbl>
    <w:p/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353A7C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FROM MEMORY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353A7C"/>
                <w:sz w:val="18"/>
                <w:szCs w:val="18"/>
              </w:rPr>
              <w:t xml:space="preserve">Close the earlier pages first.</w:t>
            </w:r>
          </w:p>
        </w:tc>
      </w:tr>
    </w:tbl>
    <w:p>
      <w:pPr>
        <w:spacing w:before="30" w:after="40"/>
      </w:pPr>
      <w:r>
        <w:rPr>
          <w:b/>
          <w:bCs/>
          <w:color w:val="353A7C"/>
          <w:sz w:val="19"/>
          <w:szCs w:val="19"/>
        </w:rPr>
        <w:t xml:space="preserve">19.  </w:t>
      </w:r>
      <w:r>
        <w:rPr>
          <w:sz w:val="19"/>
          <w:szCs w:val="19"/>
        </w:rPr>
        <w:t xml:space="preserve">Rebuild the figure from this handout. Label every part and fill in every box.</w:t>
      </w:r>
    </w:p>
    <w:p>
      <w:pPr>
        <w:spacing w:after="40" w:before="90"/>
        <w:jc w:val="center"/>
      </w:pPr>
      <w:r>
        <w:drawing>
          <wp:inline distT="0" distB="0" distL="0" distR="0">
            <wp:extent cx="5734050" cy="3561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56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1F7A6A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TEACH IT BACK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1F7A6A"/>
                <w:sz w:val="18"/>
                <w:szCs w:val="18"/>
              </w:rPr>
              <w:t xml:space="preserve">Write it for a classmate who missed this session — not for the marker.</w:t>
            </w:r>
          </w:p>
        </w:tc>
      </w:tr>
    </w:tbl>
    <w:tbl>
      <w:tblPr>
        <w:tblW w:type="pct" w:w="100%"/>
        <w:tblLayout w:type="fixed"/>
        <w:tblBorders>
          <w:top w:val="single" w:color="1F7A6A" w:sz="10"/>
          <w:left w:val="single" w:color="1F7A6A" w:sz="10"/>
          <w:bottom w:val="single" w:color="1F7A6A" w:sz="10"/>
          <w:right w:val="single" w:color="1F7A6A" w:sz="10"/>
          <w:insideH w:val="single" w:color="1F7A6A" w:sz="10"/>
          <w:insideV w:val="single" w:color="1F7A6A" w:sz="10"/>
        </w:tblBorders>
      </w:tblPr>
      <w:tblGrid>
        <w:gridCol w:w="9600"/>
      </w:tblGrid>
      <w:tr>
        <w:tc>
          <w:tcPr>
            <w:tcW w:type="pct" w:w="5000"/>
            <w:shd w:fill="EEF6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24"/>
            </w:pPr>
            <w:r>
              <w:rPr>
                <w:b/>
                <w:bCs/>
                <w:color w:val="1F7A6A"/>
                <w:sz w:val="19"/>
                <w:szCs w:val="19"/>
              </w:rPr>
              <w:t xml:space="preserve">20.  </w:t>
            </w:r>
            <w:r>
              <w:rPr>
                <w:sz w:val="19"/>
                <w:szCs w:val="19"/>
              </w:rPr>
              <w:t xml:space="preserve">In three or four sentences, write what this section settles and the one rule a reader has to take away.</w:t>
            </w:r>
          </w:p>
          <w:p>
            <w:pPr>
              <w:spacing w:after="36"/>
            </w:pPr>
            <w:r>
              <w:rPr>
                <w:color w:val="6B7280"/>
                <w:sz w:val="16"/>
                <w:szCs w:val="16"/>
              </w:rPr>
              <w:t xml:space="preserve">every one of these words must appear:  </w:t>
            </w:r>
            <w:r>
              <w:rPr>
                <w:b/>
                <w:bCs/>
                <w:color w:val="1F7A6A"/>
                <w:sz w:val="16"/>
                <w:szCs w:val="16"/>
              </w:rPr>
              <w:t xml:space="preserve">useful life  ·  amortization  ·  double-declining-balance method  ·  commercial substance</w:t>
            </w:r>
          </w:p>
        </w:tc>
      </w:tr>
    </w:tbl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/>
    <w:p>
      <w:pPr>
        <w:sectPr>
          <w:headerReference w:type="default" r:id="rIdHdr4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10.5</w:t>
      </w:r>
    </w:p>
    <w:p>
      <w:pPr>
        <w:spacing w:after="8"/>
      </w:pPr>
      <w:r>
        <w:rPr>
          <w:color w:val="23265A"/>
          <w:sz w:val="22"/>
          <w:szCs w:val="22"/>
        </w:rPr>
        <w:t xml:space="preserve">Impairment of long-lived assets, intangibles and goodwill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section 10.5 of the book</w:t>
      </w:r>
    </w:p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9600"/>
      </w:tblGrid>
      <w:tr>
        <w:tc>
          <w:tcPr>
            <w:tcW w:type="pct" w:w="5000"/>
            <w:shd w:fill="353A7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50" w:after="16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Before you start</w:t>
            </w:r>
          </w:p>
          <w:p>
            <w:pPr>
              <w:spacing w:before="0" w:after="50"/>
            </w:pPr>
            <w:r>
              <w:rPr>
                <w:color w:val="E8EAF6"/>
                <w:sz w:val="16"/>
                <w:szCs w:val="16"/>
              </w:rPr>
              <w:t xml:space="preserve">Three summaries of this handout, in the book’s own words. Read all three first: together they are the whole session. Then fill the gaps, guessing where you have to.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2930"/>
        <w:gridCol w:w="2812"/>
        <w:gridCol w:w="3859"/>
      </w:tblGrid>
      <w:tr>
        <w:tc>
          <w:tcPr>
            <w:tcW w:type="pct" w:w="5000"/>
            <w:gridSpan w:val="3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What this handout settles, cycle by cycle</w:t>
            </w:r>
          </w:p>
        </w:tc>
      </w:tr>
      <w:tr>
        <w:tc>
          <w:tcPr>
            <w:tcW w:type="pct" w:w="1526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In this handout</w:t>
            </w:r>
          </w:p>
        </w:tc>
        <w:tc>
          <w:tcPr>
            <w:tcW w:type="pct" w:w="1464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What you will read</w:t>
            </w:r>
          </w:p>
        </w:tc>
        <w:tc>
          <w:tcPr>
            <w:tcW w:type="pct" w:w="201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How you check it</w:t>
            </w:r>
          </w:p>
        </w:tc>
      </w:tr>
      <w:tr>
        <w:tc>
          <w:tcPr>
            <w:tcW w:type="pct" w:w="1526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Impairment of long-lived assets, intangibles and goodwill</w:t>
            </w:r>
          </w:p>
        </w:tc>
        <w:tc>
          <w:tcPr>
            <w:tcW w:type="pct" w:w="1464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 figure to read · Item</w:t>
            </w:r>
          </w:p>
        </w:tc>
        <w:tc>
          <w:tcPr>
            <w:tcW w:type="pct" w:w="201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Which of these did this cycle settle?</w:t>
            </w:r>
          </w:p>
        </w:tc>
      </w:tr>
      <w:tr>
        <w:tc>
          <w:tcPr>
            <w:tcW w:type="pct" w:w="1526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The words this section uses precisely</w:t>
            </w:r>
          </w:p>
        </w:tc>
        <w:tc>
          <w:tcPr>
            <w:tcW w:type="pct" w:w="1464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Asset · The English the exam uses, and what it translates</w:t>
            </w:r>
          </w:p>
        </w:tc>
        <w:tc>
          <w:tcPr>
            <w:tcW w:type="pct" w:w="201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What is the safest way to settle a disagreement about an answer on this sheet?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992"/>
        <w:gridCol w:w="4608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Words this handout uses precisely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Words this handout uses precisely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tick it if you could already use it in a sentence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carrying amount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capital expenditure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sum-of-the-years'-digits method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held for sale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</w:tbl>
    <w:p/>
    <w:p>
      <w:pPr>
        <w:spacing w:before="40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1.  </w:t>
      </w:r>
      <w:r>
        <w:rPr>
          <w:sz w:val="19"/>
          <w:szCs w:val="19"/>
        </w:rPr>
        <w:t xml:space="preserve">Where the section starts — Fill every gap. The list holds more words than there are gaps, so one or two of them are not used.</w:t>
      </w:r>
    </w:p>
    <w:p>
      <w:pPr>
        <w:spacing w:before="20" w:after="26"/>
        <w:ind w:left="300"/>
      </w:pPr>
      <w:r>
        <w:rPr>
          <w:color w:val="6B7280"/>
          <w:sz w:val="16"/>
          <w:szCs w:val="16"/>
        </w:rPr>
        <w:t xml:space="preserve">choose from:  </w:t>
      </w:r>
      <w:r>
        <w:rPr>
          <w:b/>
          <w:bCs/>
          <w:color w:val="353A7C"/>
          <w:sz w:val="16"/>
          <w:szCs w:val="16"/>
        </w:rPr>
        <w:t xml:space="preserve">carrying amount   ·   recoverability test   ·   capital expenditure   ·   impairment   ·   commercial substance</w:t>
      </w:r>
    </w:p>
    <w:p>
      <w:pPr>
        <w:spacing w:before="36" w:after="36"/>
        <w:ind w:left="300"/>
      </w:pPr>
      <w:r>
        <w:rPr>
          <w:sz w:val="19"/>
          <w:szCs w:val="19"/>
        </w:rPr>
        <w:t xml:space="preserve">In the </w:t>
      </w:r>
      <w:r>
        <w:rPr>
          <w:u w:val="single"/>
          <w:sz w:val="19"/>
          <w:szCs w:val="19"/>
        </w:rPr>
        <w:t xml:space="preserve">                     </w:t>
      </w:r>
      <w:r>
        <w:rPr>
          <w:sz w:val="19"/>
          <w:szCs w:val="19"/>
        </w:rPr>
        <w:t xml:space="preserve">, the company compares the </w:t>
      </w:r>
      <w:r>
        <w:rPr>
          <w:u w:val="single"/>
          <w:sz w:val="19"/>
          <w:szCs w:val="19"/>
        </w:rPr>
        <w:t xml:space="preserve">                 </w:t>
      </w:r>
      <w:r>
        <w:rPr>
          <w:sz w:val="19"/>
          <w:szCs w:val="19"/>
        </w:rPr>
        <w:t xml:space="preserve"> with the sum of the undiscounted future cash flows. If the carrying amount is not higher, there is no </w:t>
      </w:r>
      <w:r>
        <w:rPr>
          <w:u w:val="single"/>
          <w:sz w:val="19"/>
          <w:szCs w:val="19"/>
        </w:rPr>
        <w:t xml:space="preserve">            </w:t>
      </w:r>
      <w:r>
        <w:rPr>
          <w:sz w:val="19"/>
          <w:szCs w:val="19"/>
        </w:rPr>
        <w:t xml:space="preserve">, even if fair value is lower.</w:t>
      </w:r>
    </w:p>
    <w:p>
      <w:pPr>
        <w:spacing w:before="40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2.  </w:t>
      </w:r>
      <w:r>
        <w:rPr>
          <w:sz w:val="19"/>
          <w:szCs w:val="19"/>
        </w:rPr>
        <w:t xml:space="preserve">What it settles in the middle — Fill every gap. The list holds more words than there are gaps, so one or two of them are not used.</w:t>
      </w:r>
    </w:p>
    <w:p>
      <w:pPr>
        <w:spacing w:before="20" w:after="26"/>
        <w:ind w:left="300"/>
      </w:pPr>
      <w:r>
        <w:rPr>
          <w:color w:val="6B7280"/>
          <w:sz w:val="16"/>
          <w:szCs w:val="16"/>
        </w:rPr>
        <w:t xml:space="preserve">choose from:  </w:t>
      </w:r>
      <w:r>
        <w:rPr>
          <w:b/>
          <w:bCs/>
          <w:color w:val="353A7C"/>
          <w:sz w:val="16"/>
          <w:szCs w:val="16"/>
        </w:rPr>
        <w:t xml:space="preserve">reporting unit   ·   capital expenditure   ·   indefinite-lived intangible asset   ·   Goodwill   ·   carrying amount   ·   commercial substance</w:t>
      </w:r>
    </w:p>
    <w:p>
      <w:pPr>
        <w:spacing w:before="36" w:after="36"/>
        <w:ind w:left="300"/>
      </w:pPr>
      <w:r>
        <w:rPr>
          <w:sz w:val="19"/>
          <w:szCs w:val="19"/>
        </w:rPr>
        <w:t xml:space="preserve">An </w:t>
      </w:r>
      <w:r>
        <w:rPr>
          <w:u w:val="single"/>
          <w:sz w:val="19"/>
          <w:szCs w:val="19"/>
        </w:rPr>
        <w:t xml:space="preserve">                                   </w:t>
      </w:r>
      <w:r>
        <w:rPr>
          <w:sz w:val="19"/>
          <w:szCs w:val="19"/>
        </w:rPr>
        <w:t xml:space="preserve">, such as a brand with no expected end, is not amortized. It is tested at least every year in one step: </w:t>
      </w:r>
      <w:r>
        <w:rPr>
          <w:u w:val="single"/>
          <w:sz w:val="19"/>
          <w:szCs w:val="19"/>
        </w:rPr>
        <w:t xml:space="preserve">                 </w:t>
      </w:r>
      <w:r>
        <w:rPr>
          <w:sz w:val="19"/>
          <w:szCs w:val="19"/>
        </w:rPr>
        <w:t xml:space="preserve"> against fair value. </w:t>
      </w:r>
      <w:r>
        <w:rPr>
          <w:u w:val="single"/>
          <w:sz w:val="19"/>
          <w:szCs w:val="19"/>
        </w:rPr>
        <w:t xml:space="preserve">           </w:t>
      </w:r>
      <w:r>
        <w:rPr>
          <w:sz w:val="19"/>
          <w:szCs w:val="19"/>
        </w:rPr>
        <w:t xml:space="preserve"> is not amortized by public companies. It is tested at least every year at the level of the </w:t>
      </w:r>
      <w:r>
        <w:rPr>
          <w:u w:val="single"/>
          <w:sz w:val="19"/>
          <w:szCs w:val="19"/>
        </w:rPr>
        <w:t xml:space="preserve">                </w:t>
      </w:r>
      <w:r>
        <w:rPr>
          <w:sz w:val="19"/>
          <w:szCs w:val="19"/>
        </w:rPr>
        <w:t xml:space="preserve">.</w:t>
      </w:r>
    </w:p>
    <w:p>
      <w:pPr>
        <w:spacing w:before="40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3.  </w:t>
      </w:r>
      <w:r>
        <w:rPr>
          <w:sz w:val="19"/>
          <w:szCs w:val="19"/>
        </w:rPr>
        <w:t xml:space="preserve">Where it ends — Fill every gap. The list holds more words than there are gaps, so one or two of them are not used.</w:t>
      </w:r>
    </w:p>
    <w:p>
      <w:pPr>
        <w:spacing w:before="20" w:after="26"/>
        <w:ind w:left="300"/>
      </w:pPr>
      <w:r>
        <w:rPr>
          <w:color w:val="6B7280"/>
          <w:sz w:val="16"/>
          <w:szCs w:val="16"/>
        </w:rPr>
        <w:t xml:space="preserve">choose from:  </w:t>
      </w:r>
      <w:r>
        <w:rPr>
          <w:b/>
          <w:bCs/>
          <w:color w:val="353A7C"/>
          <w:sz w:val="16"/>
          <w:szCs w:val="16"/>
        </w:rPr>
        <w:t xml:space="preserve">commercial substance   ·   capital expenditure   ·   goodwill   ·   carrying amount   ·   impairment</w:t>
      </w:r>
    </w:p>
    <w:p>
      <w:pPr>
        <w:spacing w:before="36" w:after="36"/>
        <w:ind w:left="300"/>
      </w:pPr>
      <w:r>
        <w:rPr>
          <w:sz w:val="19"/>
          <w:szCs w:val="19"/>
        </w:rPr>
        <w:t xml:space="preserve">IAS 36 uses one step: compare the </w:t>
      </w:r>
      <w:r>
        <w:rPr>
          <w:u w:val="single"/>
          <w:sz w:val="19"/>
          <w:szCs w:val="19"/>
        </w:rPr>
        <w:t xml:space="preserve">                 </w:t>
      </w:r>
      <w:r>
        <w:rPr>
          <w:sz w:val="19"/>
          <w:szCs w:val="19"/>
        </w:rPr>
        <w:t xml:space="preserve"> with the recoverable amount, which is the higher of fair value less costs of disposal and value in use (a discounted amount). IFRS allows the reversal of </w:t>
      </w:r>
      <w:r>
        <w:rPr>
          <w:u w:val="single"/>
          <w:sz w:val="19"/>
          <w:szCs w:val="19"/>
        </w:rPr>
        <w:t xml:space="preserve">            </w:t>
      </w:r>
      <w:r>
        <w:rPr>
          <w:sz w:val="19"/>
          <w:szCs w:val="19"/>
        </w:rPr>
        <w:t xml:space="preserve"> losses on assets other than </w:t>
      </w:r>
      <w:r>
        <w:rPr>
          <w:u w:val="single"/>
          <w:sz w:val="19"/>
          <w:szCs w:val="19"/>
        </w:rPr>
        <w:t xml:space="preserve">           </w:t>
      </w:r>
      <w:r>
        <w:rPr>
          <w:sz w:val="19"/>
          <w:szCs w:val="19"/>
        </w:rPr>
        <w:t xml:space="preserve">.</w:t>
      </w:r>
    </w:p>
    <w:p>
      <w:pPr>
        <w:pageBreakBefore w:val="true"/>
        <w:spacing w:after="0"/>
      </w:pPr>
      <w:r>
        <w:rPr>
          <w:sz w:val="2"/>
          <w:szCs w:val="2"/>
        </w:rPr>
        <w:t xml:space="preserve"> </w:t>
      </w:r>
    </w:p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1056"/>
        <w:gridCol w:w="8544"/>
      </w:tblGrid>
      <w:tr>
        <w:tc>
          <w:tcPr>
            <w:tcW w:type="pct" w:w="550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CYCLE A</w:t>
            </w:r>
          </w:p>
        </w:tc>
        <w:tc>
          <w:tcPr>
            <w:tcW w:type="pct" w:w="4450"/>
            <w:shd w:fill="F2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353A7C"/>
                <w:sz w:val="22"/>
                <w:szCs w:val="22"/>
              </w:rPr>
              <w:t xml:space="preserve">Impairment of long-lived assets, intangibles and goodwill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ORIENT</w:t>
            </w:r>
            <w:r>
              <w:rPr>
                <w:color w:val="6B7280"/>
                <w:sz w:val="18"/>
                <w:szCs w:val="18"/>
              </w:rPr>
              <w:t xml:space="preserve">      One claim. Decide now; you will check it in a moment.</w:t>
            </w:r>
          </w:p>
        </w:tc>
      </w:tr>
    </w:tbl>
    <w:p>
      <w:pPr>
        <w:pBdr>
          <w:top w:val="single" w:sz="6" w:space="1" w:color="6B7280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4.  </w:t>
      </w:r>
      <w:r>
        <w:rPr>
          <w:sz w:val="19"/>
          <w:szCs w:val="19"/>
        </w:rPr>
        <w:t xml:space="preserve">The book gives the asset of P as “Pastry line, Dubai”.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MODEL</w:t>
            </w:r>
            <w:r>
              <w:rPr>
                <w:color w:val="6B7280"/>
                <w:sz w:val="18"/>
                <w:szCs w:val="18"/>
              </w:rPr>
              <w:t xml:space="preserve">      Read it before you answer anything below it.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after="40" w:before="90"/>
        <w:jc w:val="center"/>
      </w:pPr>
      <w:r>
        <w:drawing>
          <wp:inline distT="0" distB="0" distL="0" distR="0">
            <wp:extent cx="5734050" cy="4934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93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864"/>
        <w:gridCol w:w="2153"/>
        <w:gridCol w:w="2907"/>
        <w:gridCol w:w="3676"/>
      </w:tblGrid>
      <w:tr>
        <w:tc>
          <w:tcPr>
            <w:tcW w:type="pct" w:w="5000"/>
            <w:gridSpan w:val="4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Item — the book’s own table</w:t>
            </w:r>
          </w:p>
        </w:tc>
      </w:tr>
      <w:tr>
        <w:tc>
          <w:tcPr>
            <w:tcW w:type="pct" w:w="4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Item</w:t>
            </w:r>
          </w:p>
        </w:tc>
        <w:tc>
          <w:tcPr>
            <w:tcW w:type="pct" w:w="1121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Asset</w:t>
            </w:r>
          </w:p>
        </w:tc>
        <w:tc>
          <w:tcPr>
            <w:tcW w:type="pct" w:w="1514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Facts</w:t>
            </w:r>
          </w:p>
        </w:tc>
        <w:tc>
          <w:tcPr>
            <w:tcW w:type="pct" w:w="1915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Amounts (USD 000)</w:t>
            </w:r>
          </w:p>
        </w:tc>
      </w:tr>
      <w:tr>
        <w:tc>
          <w:tcPr>
            <w:tcW w:type="pct" w:w="4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P</w:t>
            </w:r>
          </w:p>
        </w:tc>
        <w:tc>
          <w:tcPr>
            <w:tcW w:type="pct" w:w="1121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Pastry line, Dubai</w:t>
            </w:r>
          </w:p>
        </w:tc>
        <w:tc>
          <w:tcPr>
            <w:tcW w:type="pct" w:w="1514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Demand for the product fell sharply in 2025.</w:t>
            </w:r>
          </w:p>
        </w:tc>
        <w:tc>
          <w:tcPr>
            <w:tcW w:type="pct" w:w="1915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carrying 500; undiscounted cash flows 450; fair value 380</w:t>
            </w:r>
          </w:p>
        </w:tc>
      </w:tr>
      <w:tr>
        <w:tc>
          <w:tcPr>
            <w:tcW w:type="pct" w:w="45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W</w:t>
            </w:r>
          </w:p>
        </w:tc>
        <w:tc>
          <w:tcPr>
            <w:tcW w:type="pct" w:w="1121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Warehouse, Amman</w:t>
            </w:r>
          </w:p>
        </w:tc>
        <w:tc>
          <w:tcPr>
            <w:tcW w:type="pct" w:w="1514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Local property prices fell.</w:t>
            </w:r>
          </w:p>
        </w:tc>
        <w:tc>
          <w:tcPr>
            <w:tcW w:type="pct" w:w="1915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carrying 1,000; undiscounted cash flows 1,300; fair value 900</w:t>
            </w:r>
          </w:p>
        </w:tc>
      </w:tr>
      <w:tr>
        <w:tc>
          <w:tcPr>
            <w:tcW w:type="pct" w:w="4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B</w:t>
            </w:r>
          </w:p>
        </w:tc>
        <w:tc>
          <w:tcPr>
            <w:tcW w:type="pct" w:w="1121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Brand 'Orontes Gold' (indefinite life)</w:t>
            </w:r>
          </w:p>
        </w:tc>
        <w:tc>
          <w:tcPr>
            <w:tcW w:type="pct" w:w="1514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Annual test.</w:t>
            </w:r>
          </w:p>
        </w:tc>
        <w:tc>
          <w:tcPr>
            <w:tcW w:type="pct" w:w="1915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carrying 300; fair value 260</w:t>
            </w:r>
          </w:p>
        </w:tc>
      </w:tr>
      <w:tr>
        <w:tc>
          <w:tcPr>
            <w:tcW w:type="pct" w:w="45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G</w:t>
            </w:r>
          </w:p>
        </w:tc>
        <w:tc>
          <w:tcPr>
            <w:tcW w:type="pct" w:w="1121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Goodwill, Gulf beverages reporting unit</w:t>
            </w:r>
          </w:p>
        </w:tc>
        <w:tc>
          <w:tcPr>
            <w:tcW w:type="pct" w:w="1514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Unit carrying amount includes the goodwill.</w:t>
            </w:r>
          </w:p>
        </w:tc>
        <w:tc>
          <w:tcPr>
            <w:tcW w:type="pct" w:w="1915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carrying 2,000; goodwill included 150; fair value 1,700</w:t>
            </w:r>
          </w:p>
        </w:tc>
      </w:tr>
      <w:tr>
        <w:tc>
          <w:tcPr>
            <w:tcW w:type="pct" w:w="4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V</w:t>
            </w:r>
          </w:p>
        </w:tc>
        <w:tc>
          <w:tcPr>
            <w:tcW w:type="pct" w:w="1121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Delivery van (held for sale)</w:t>
            </w:r>
          </w:p>
        </w:tc>
        <w:tc>
          <w:tcPr>
            <w:tcW w:type="pct" w:w="1514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Management has committed to sell it within one year.</w:t>
            </w:r>
          </w:p>
        </w:tc>
        <w:tc>
          <w:tcPr>
            <w:tcW w:type="pct" w:w="1915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carrying 60; fair value 50; cost to sell 4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READ THE MODEL</w:t>
            </w:r>
            <w:r>
              <w:rPr>
                <w:color w:val="6B7280"/>
                <w:sz w:val="18"/>
                <w:szCs w:val="18"/>
              </w:rPr>
              <w:t xml:space="preserve">      Every answer is printed above. Find it, do not recall it.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5.  </w:t>
      </w:r>
      <w:r>
        <w:rPr>
          <w:sz w:val="19"/>
          <w:szCs w:val="19"/>
        </w:rPr>
        <w:t xml:space="preserve">Which asset does the book give for P?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Warehouse, Amman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Brand 'Orontes Gold' (indefinite life)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Pastry line, Dubai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Delivery van (held for sale)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6.  </w:t>
      </w:r>
      <w:r>
        <w:rPr>
          <w:sz w:val="19"/>
          <w:szCs w:val="19"/>
        </w:rPr>
        <w:t xml:space="preserve">Which asset does the book give for W?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Delivery van (held for sale)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Pastry line, Dubai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Warehouse, Amman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Brand 'Orontes Gold' (indefinite life)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7.  </w:t>
      </w:r>
      <w:r>
        <w:rPr>
          <w:sz w:val="19"/>
          <w:szCs w:val="19"/>
        </w:rPr>
        <w:t xml:space="preserve">Which asset does the book give for B?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Delivery van (held for sale)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Goodwill, Gulf beverages reporting unit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Brand 'Orontes Gold' (indefinite life)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Pastry line, Dubai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8.  </w:t>
      </w:r>
      <w:r>
        <w:rPr>
          <w:sz w:val="19"/>
          <w:szCs w:val="19"/>
        </w:rPr>
        <w:t xml:space="preserve">Which asset does the book give for G?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Goodwill, Gulf beverages reporting unit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Pastry line, Dubai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Delivery van (held for sale)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Brand 'Orontes Gold' (indefinite life)</w:t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9.  </w:t>
      </w:r>
      <w:r>
        <w:rPr>
          <w:sz w:val="19"/>
          <w:szCs w:val="19"/>
        </w:rPr>
        <w:t xml:space="preserve">The book gives the Amounts (USD 000) of P as “carrying 500; undiscounted cash flows 450; fair value 380”.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10.  </w:t>
      </w:r>
      <w:r>
        <w:rPr>
          <w:sz w:val="19"/>
          <w:szCs w:val="19"/>
        </w:rPr>
        <w:t xml:space="preserve">The book gives the Amounts (USD 000) of W as “carrying 60; fair value 50; cost to sell 4”.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D3F7E"/>
                <w:sz w:val="17"/>
                <w:szCs w:val="17"/>
              </w:rPr>
              <w:t xml:space="preserve">APPLY</w:t>
            </w:r>
            <w:r>
              <w:rPr>
                <w:color w:val="6B7280"/>
                <w:sz w:val="18"/>
                <w:szCs w:val="18"/>
              </w:rPr>
              <w:t xml:space="preserve">      No help on this move.</w:t>
            </w:r>
          </w:p>
        </w:tc>
      </w:tr>
    </w:tbl>
    <w:p>
      <w:pPr>
        <w:pBdr>
          <w:top w:val="single" w:sz="6" w:space="1" w:color="6D3F7E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11.  </w:t>
      </w:r>
      <w:r>
        <w:rPr>
          <w:sz w:val="19"/>
          <w:szCs w:val="19"/>
        </w:rPr>
        <w:t xml:space="preserve">The rule you have just written is the book’s own rule.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1F7A6A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WORK IN PAIRS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1F7A6A"/>
                <w:sz w:val="18"/>
                <w:szCs w:val="18"/>
              </w:rPr>
              <w:t xml:space="preserve">Compare every answer on this page with your partner before you read any key.</w:t>
            </w:r>
          </w:p>
        </w:tc>
      </w:tr>
    </w:tbl>
    <w:p>
      <w:pPr>
        <w:spacing w:before="20" w:after="50"/>
      </w:pPr>
      <w:r>
        <w:rPr>
          <w:b/>
          <w:bCs/>
          <w:color w:val="1F7A6A"/>
          <w:sz w:val="16"/>
          <w:szCs w:val="16"/>
        </w:rPr>
        <w:t xml:space="preserve">If you disagree: </w:t>
      </w:r>
      <w:r>
        <w:rPr>
          <w:color w:val="6B7280"/>
          <w:sz w:val="16"/>
          <w:szCs w:val="16"/>
        </w:rPr>
        <w:t xml:space="preserve">go back to the model and find the row that settles it. The row decides, not the louder voice.</w:t>
      </w:r>
    </w:p>
    <w:tbl>
      <w:tblPr>
        <w:tblW w:type="pct" w:w="100%"/>
        <w:tblLayout w:type="fixed"/>
        <w:tblBorders>
          <w:top w:val="single" w:color="C0483F" w:sz="12"/>
          <w:left w:val="single" w:color="C0483F" w:sz="12"/>
          <w:bottom w:val="single" w:color="C0483F" w:sz="12"/>
          <w:right w:val="single" w:color="C0483F" w:sz="12"/>
          <w:insideH w:val="single" w:color="C0483F" w:sz="12"/>
          <w:insideV w:val="single" w:color="C0483F" w:sz="12"/>
        </w:tblBorders>
      </w:tblPr>
      <w:tblGrid>
        <w:gridCol w:w="9600"/>
      </w:tblGrid>
      <w:tr>
        <w:tc>
          <w:tcPr>
            <w:tcW w:type="pct" w:w="5000"/>
            <w:shd w:fill="FBF0E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50" w:after="24"/>
            </w:pPr>
            <w:r>
              <w:rPr>
                <w:b/>
                <w:bCs/>
                <w:color w:val="C0483F"/>
                <w:sz w:val="16"/>
                <w:szCs w:val="16"/>
              </w:rPr>
              <w:t xml:space="preserve">CHECKPOINT  </w:t>
            </w:r>
            <w:r>
              <w:rPr>
                <w:b/>
                <w:bCs/>
                <w:color w:val="353A7C"/>
                <w:sz w:val="19"/>
                <w:szCs w:val="19"/>
              </w:rPr>
              <w:t xml:space="preserve">12.  </w:t>
            </w:r>
            <w:r>
              <w:rPr>
                <w:sz w:val="19"/>
                <w:szCs w:val="19"/>
              </w:rPr>
              <w:t xml:space="preserve">Which of these did this cycle settle?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the rule and where it comes from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nothing in particular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only the vocabulary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only the arithmetic</w:t>
            </w:r>
          </w:p>
          <w:p>
            <w:pPr>
              <w:spacing w:before="20" w:after="50"/>
            </w:pPr>
            <w:r>
              <w:rPr>
                <w:color w:val="C0483F"/>
                <w:sz w:val="17"/>
                <w:szCs w:val="17"/>
              </w:rPr>
              <w:t xml:space="preserve">If you got it wrong: redo the READ THE MODEL questions of cycle A.</w:t>
            </w:r>
          </w:p>
        </w:tc>
      </w:tr>
    </w:tbl>
    <w:p/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1056"/>
        <w:gridCol w:w="8544"/>
      </w:tblGrid>
      <w:tr>
        <w:tc>
          <w:tcPr>
            <w:tcW w:type="pct" w:w="550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CYCLE B</w:t>
            </w:r>
          </w:p>
        </w:tc>
        <w:tc>
          <w:tcPr>
            <w:tcW w:type="pct" w:w="4450"/>
            <w:shd w:fill="F2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353A7C"/>
                <w:sz w:val="22"/>
                <w:szCs w:val="22"/>
              </w:rPr>
              <w:t xml:space="preserve">The words this section uses precisely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ORIENT</w:t>
            </w:r>
          </w:p>
        </w:tc>
      </w:tr>
    </w:tbl>
    <w:p>
      <w:pPr>
        <w:pBdr>
          <w:top w:val="single" w:sz="6" w:space="1" w:color="6B7280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13.  </w:t>
      </w:r>
      <w:r>
        <w:rPr>
          <w:sz w:val="19"/>
          <w:szCs w:val="19"/>
        </w:rPr>
        <w:t xml:space="preserve">A term in the exam means exactly what the book defines it to mean, whatever it means in ordinary English.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MODEL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608"/>
        <w:gridCol w:w="4992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Asset — the book’s own table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Asset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Category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P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W</w:t>
            </w:r>
          </w:p>
        </w:tc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B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G</w:t>
            </w:r>
          </w:p>
        </w:tc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V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</w:tbl>
    <w:p/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992"/>
        <w:gridCol w:w="4608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The English the exam uses, and what it translates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English (exam term)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the Arabic it translates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carrying amount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القيمة الدفترية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capital expenditure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نفقة رأسمالية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sum-of-the-years'-digits method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طريقة مجموع أرقام السنوات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held for sale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محتفظ بها للبيع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READ THE MODEL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24"/>
      </w:pPr>
      <w:r>
        <w:rPr>
          <w:sz w:val="19"/>
          <w:szCs w:val="19"/>
        </w:rPr>
        <w:t xml:space="preserve">Write the letter of the Arabic term beside each English term. Every term is used once.</w:t>
      </w:r>
    </w:p>
    <w:tbl>
      <w:tblPr>
        <w:tblW w:type="pct" w:w="100%"/>
        <w:tblLayout w:type="fixed"/>
        <w:tblBorders>
          <w:top w:val="single" w:color="8186EF" w:sz="4"/>
          <w:left w:val="single" w:color="8186EF" w:sz="4"/>
          <w:bottom w:val="single" w:color="8186EF" w:sz="4"/>
          <w:right w:val="single" w:color="8186EF" w:sz="4"/>
          <w:insideH w:val="single" w:color="8186EF" w:sz="4"/>
          <w:insideV w:val="single" w:color="8186EF" w:sz="4"/>
        </w:tblBorders>
      </w:tblPr>
      <w:tblGrid>
        <w:gridCol w:w="4800"/>
        <w:gridCol w:w="4800"/>
      </w:tblGrid>
      <w:tr>
        <w:tc>
          <w:tcPr>
            <w:tcW w:type="pct" w:w="25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18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A  </w:t>
            </w:r>
            <w:r>
              <w:rPr>
                <w:sz w:val="16"/>
                <w:szCs w:val="16"/>
              </w:rPr>
              <w:t xml:space="preserve">طريقة مجموع أرقام السنوات</w:t>
            </w:r>
          </w:p>
        </w:tc>
        <w:tc>
          <w:tcPr>
            <w:tcW w:type="pct" w:w="25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18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C  </w:t>
            </w:r>
            <w:r>
              <w:rPr>
                <w:sz w:val="16"/>
                <w:szCs w:val="16"/>
              </w:rPr>
              <w:t xml:space="preserve">نفقة رأسمالية</w:t>
            </w:r>
          </w:p>
        </w:tc>
      </w:tr>
      <w:tr>
        <w:tc>
          <w:tcPr>
            <w:tcW w:type="pct" w:w="25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18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B  </w:t>
            </w:r>
            <w:r>
              <w:rPr>
                <w:sz w:val="16"/>
                <w:szCs w:val="16"/>
              </w:rPr>
              <w:t xml:space="preserve">القيمة الدفترية</w:t>
            </w:r>
          </w:p>
        </w:tc>
        <w:tc>
          <w:tcPr>
            <w:tcW w:type="pct" w:w="25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18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D  </w:t>
            </w:r>
            <w:r>
              <w:rPr>
                <w:sz w:val="16"/>
                <w:szCs w:val="16"/>
              </w:rPr>
              <w:t xml:space="preserve">محتفظ بها للبيع</w:t>
            </w:r>
          </w:p>
        </w:tc>
      </w:tr>
    </w:tbl>
    <w:p/>
    <w:p>
      <w:pPr>
        <w:spacing w:before="24" w:after="24"/>
        <w:ind w:left="300" w:hanging="300"/>
      </w:pPr>
      <w:r>
        <w:rPr>
          <w:b/>
          <w:bCs/>
          <w:color w:val="353A7C"/>
          <w:sz w:val="18"/>
          <w:szCs w:val="18"/>
        </w:rPr>
        <w:t xml:space="preserve">14.  </w:t>
      </w:r>
      <w:r>
        <w:rPr>
          <w:sz w:val="18"/>
          <w:szCs w:val="18"/>
        </w:rPr>
        <w:t xml:space="preserve">capital expenditure</w:t>
      </w:r>
      <w:r>
        <w:rPr>
          <w:sz w:val="18"/>
          <w:szCs w:val="18"/>
        </w:rPr>
        <w:t xml:space="preserve">      </w:t>
      </w:r>
      <w:r>
        <w:rPr>
          <w:u w:val="single"/>
          <w:sz w:val="18"/>
          <w:szCs w:val="18"/>
        </w:rPr>
        <w:t xml:space="preserve">        </w:t>
      </w:r>
    </w:p>
    <w:p>
      <w:pPr>
        <w:spacing w:before="24" w:after="24"/>
        <w:ind w:left="300" w:hanging="300"/>
      </w:pPr>
      <w:r>
        <w:rPr>
          <w:b/>
          <w:bCs/>
          <w:color w:val="353A7C"/>
          <w:sz w:val="18"/>
          <w:szCs w:val="18"/>
        </w:rPr>
        <w:t xml:space="preserve">15.  </w:t>
      </w:r>
      <w:r>
        <w:rPr>
          <w:sz w:val="18"/>
          <w:szCs w:val="18"/>
        </w:rPr>
        <w:t xml:space="preserve">sum-of-the-years'-digits method</w:t>
      </w:r>
      <w:r>
        <w:rPr>
          <w:sz w:val="18"/>
          <w:szCs w:val="18"/>
        </w:rPr>
        <w:t xml:space="preserve">      </w:t>
      </w:r>
      <w:r>
        <w:rPr>
          <w:u w:val="single"/>
          <w:sz w:val="18"/>
          <w:szCs w:val="18"/>
        </w:rPr>
        <w:t xml:space="preserve">        </w:t>
      </w:r>
    </w:p>
    <w:p>
      <w:pPr>
        <w:spacing w:before="24" w:after="24"/>
        <w:ind w:left="300" w:hanging="300"/>
      </w:pPr>
      <w:r>
        <w:rPr>
          <w:b/>
          <w:bCs/>
          <w:color w:val="353A7C"/>
          <w:sz w:val="18"/>
          <w:szCs w:val="18"/>
        </w:rPr>
        <w:t xml:space="preserve">16.  </w:t>
      </w:r>
      <w:r>
        <w:rPr>
          <w:sz w:val="18"/>
          <w:szCs w:val="18"/>
        </w:rPr>
        <w:t xml:space="preserve">held for sale</w:t>
      </w:r>
      <w:r>
        <w:rPr>
          <w:sz w:val="18"/>
          <w:szCs w:val="18"/>
        </w:rPr>
        <w:t xml:space="preserve">      </w:t>
      </w:r>
      <w:r>
        <w:rPr>
          <w:u w:val="single"/>
          <w:sz w:val="18"/>
          <w:szCs w:val="18"/>
        </w:rPr>
        <w:t xml:space="preserve">        </w:t>
      </w:r>
    </w:p>
    <w:p>
      <w:pPr>
        <w:spacing w:before="24" w:after="24"/>
        <w:ind w:left="300" w:hanging="300"/>
      </w:pPr>
      <w:r>
        <w:rPr>
          <w:b/>
          <w:bCs/>
          <w:color w:val="353A7C"/>
          <w:sz w:val="18"/>
          <w:szCs w:val="18"/>
        </w:rPr>
        <w:t xml:space="preserve">17.  </w:t>
      </w:r>
      <w:r>
        <w:rPr>
          <w:sz w:val="18"/>
          <w:szCs w:val="18"/>
        </w:rPr>
        <w:t xml:space="preserve">carrying amount</w:t>
      </w:r>
      <w:r>
        <w:rPr>
          <w:sz w:val="18"/>
          <w:szCs w:val="18"/>
        </w:rPr>
        <w:t xml:space="preserve">      </w:t>
      </w:r>
      <w:r>
        <w:rPr>
          <w:u w:val="single"/>
          <w:sz w:val="18"/>
          <w:szCs w:val="18"/>
        </w:rPr>
        <w:t xml:space="preserve">        </w:t>
      </w:r>
    </w:p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D3F7E"/>
                <w:sz w:val="17"/>
                <w:szCs w:val="17"/>
              </w:rPr>
              <w:t xml:space="preserve">APPLY</w:t>
            </w:r>
          </w:p>
        </w:tc>
      </w:tr>
    </w:tbl>
    <w:p>
      <w:pPr>
        <w:pBdr>
          <w:top w:val="single" w:sz="6" w:space="1" w:color="6D3F7E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18.  </w:t>
      </w:r>
      <w:r>
        <w:rPr>
          <w:sz w:val="19"/>
          <w:szCs w:val="19"/>
        </w:rPr>
        <w:t xml:space="preserve">Writing a term in English is part of answering the question, not an extra.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tbl>
      <w:tblPr>
        <w:tblW w:type="pct" w:w="100%"/>
        <w:tblLayout w:type="fixed"/>
        <w:tblBorders>
          <w:top w:val="single" w:color="C0483F" w:sz="12"/>
          <w:left w:val="single" w:color="C0483F" w:sz="12"/>
          <w:bottom w:val="single" w:color="C0483F" w:sz="12"/>
          <w:right w:val="single" w:color="C0483F" w:sz="12"/>
          <w:insideH w:val="single" w:color="C0483F" w:sz="12"/>
          <w:insideV w:val="single" w:color="C0483F" w:sz="12"/>
        </w:tblBorders>
      </w:tblPr>
      <w:tblGrid>
        <w:gridCol w:w="9600"/>
      </w:tblGrid>
      <w:tr>
        <w:tc>
          <w:tcPr>
            <w:tcW w:type="pct" w:w="5000"/>
            <w:shd w:fill="FBF0E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50" w:after="24"/>
            </w:pPr>
            <w:r>
              <w:rPr>
                <w:b/>
                <w:bCs/>
                <w:color w:val="C0483F"/>
                <w:sz w:val="16"/>
                <w:szCs w:val="16"/>
              </w:rPr>
              <w:t xml:space="preserve">CHECKPOINT  </w:t>
            </w:r>
            <w:r>
              <w:rPr>
                <w:b/>
                <w:bCs/>
                <w:color w:val="353A7C"/>
                <w:sz w:val="19"/>
                <w:szCs w:val="19"/>
              </w:rPr>
              <w:t xml:space="preserve">19.  </w:t>
            </w:r>
            <w:r>
              <w:rPr>
                <w:sz w:val="19"/>
                <w:szCs w:val="19"/>
              </w:rPr>
              <w:t xml:space="preserve">What is the safest way to settle a disagreement about an answer on this sheet?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find the row of the model that decides it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take the answer of whoever is more confident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leave it until the lecturer says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choose the longer option</w:t>
            </w:r>
          </w:p>
          <w:p>
            <w:pPr>
              <w:spacing w:before="20" w:after="50"/>
            </w:pPr>
            <w:r>
              <w:rPr>
                <w:color w:val="C0483F"/>
                <w:sz w:val="17"/>
                <w:szCs w:val="17"/>
              </w:rPr>
              <w:t xml:space="preserve">If you got it wrong: redo the READ THE MODEL questions of cycle B.</w:t>
            </w:r>
          </w:p>
        </w:tc>
      </w:tr>
    </w:tbl>
    <w:p/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353A7C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FROM MEMORY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353A7C"/>
                <w:sz w:val="18"/>
                <w:szCs w:val="18"/>
              </w:rPr>
              <w:t xml:space="preserve">Close the earlier pages first.</w:t>
            </w:r>
          </w:p>
        </w:tc>
      </w:tr>
    </w:tbl>
    <w:p>
      <w:pPr>
        <w:spacing w:before="30" w:after="40"/>
      </w:pPr>
      <w:r>
        <w:rPr>
          <w:b/>
          <w:bCs/>
          <w:color w:val="353A7C"/>
          <w:sz w:val="19"/>
          <w:szCs w:val="19"/>
        </w:rPr>
        <w:t xml:space="preserve">20.  </w:t>
      </w:r>
      <w:r>
        <w:rPr>
          <w:sz w:val="19"/>
          <w:szCs w:val="19"/>
        </w:rPr>
        <w:t xml:space="preserve">Rebuild the figure from this handout. Label every part and fill in every box.</w:t>
      </w:r>
    </w:p>
    <w:p>
      <w:pPr>
        <w:spacing w:after="40" w:before="90"/>
        <w:jc w:val="center"/>
      </w:pPr>
      <w:r>
        <w:drawing>
          <wp:inline distT="0" distB="0" distL="0" distR="0">
            <wp:extent cx="5734050" cy="4934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93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1F7A6A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TEACH IT BACK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1F7A6A"/>
                <w:sz w:val="18"/>
                <w:szCs w:val="18"/>
              </w:rPr>
              <w:t xml:space="preserve">Write it for a classmate who missed this session — not for the marker.</w:t>
            </w:r>
          </w:p>
        </w:tc>
      </w:tr>
    </w:tbl>
    <w:tbl>
      <w:tblPr>
        <w:tblW w:type="pct" w:w="100%"/>
        <w:tblLayout w:type="fixed"/>
        <w:tblBorders>
          <w:top w:val="single" w:color="1F7A6A" w:sz="10"/>
          <w:left w:val="single" w:color="1F7A6A" w:sz="10"/>
          <w:bottom w:val="single" w:color="1F7A6A" w:sz="10"/>
          <w:right w:val="single" w:color="1F7A6A" w:sz="10"/>
          <w:insideH w:val="single" w:color="1F7A6A" w:sz="10"/>
          <w:insideV w:val="single" w:color="1F7A6A" w:sz="10"/>
        </w:tblBorders>
      </w:tblPr>
      <w:tblGrid>
        <w:gridCol w:w="9600"/>
      </w:tblGrid>
      <w:tr>
        <w:tc>
          <w:tcPr>
            <w:tcW w:type="pct" w:w="5000"/>
            <w:shd w:fill="EEF6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24"/>
            </w:pPr>
            <w:r>
              <w:rPr>
                <w:b/>
                <w:bCs/>
                <w:color w:val="1F7A6A"/>
                <w:sz w:val="19"/>
                <w:szCs w:val="19"/>
              </w:rPr>
              <w:t xml:space="preserve">21.  </w:t>
            </w:r>
            <w:r>
              <w:rPr>
                <w:sz w:val="19"/>
                <w:szCs w:val="19"/>
              </w:rPr>
              <w:t xml:space="preserve">In three or four sentences, write what this section settles and the one rule a reader has to take away.</w:t>
            </w:r>
          </w:p>
          <w:p>
            <w:pPr>
              <w:spacing w:after="36"/>
            </w:pPr>
            <w:r>
              <w:rPr>
                <w:color w:val="6B7280"/>
                <w:sz w:val="16"/>
                <w:szCs w:val="16"/>
              </w:rPr>
              <w:t xml:space="preserve">every one of these words must appear:  </w:t>
            </w:r>
            <w:r>
              <w:rPr>
                <w:b/>
                <w:bCs/>
                <w:color w:val="1F7A6A"/>
                <w:sz w:val="16"/>
                <w:szCs w:val="16"/>
              </w:rPr>
              <w:t xml:space="preserve">carrying amount  ·  capital expenditure  ·  sum-of-the-years'-digits method  ·  held for sale</w:t>
            </w:r>
          </w:p>
        </w:tc>
      </w:tr>
    </w:tbl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/>
    <w:p>
      <w:pPr>
        <w:sectPr>
          <w:headerReference w:type="default" r:id="rIdHdr5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10.6</w:t>
      </w:r>
    </w:p>
    <w:p>
      <w:pPr>
        <w:spacing w:after="8"/>
      </w:pPr>
      <w:r>
        <w:rPr>
          <w:color w:val="23265A"/>
          <w:sz w:val="22"/>
          <w:szCs w:val="22"/>
        </w:rPr>
        <w:t xml:space="preserve">The whole chapter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every section, shuffled, and the chapter’s own case set</w:t>
      </w:r>
    </w:p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9600"/>
      </w:tblGrid>
      <w:tr>
        <w:tc>
          <w:tcPr>
            <w:tcW w:type="pct" w:w="5000"/>
            <w:shd w:fill="353A7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50" w:after="16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Before you start</w:t>
            </w:r>
          </w:p>
          <w:p>
            <w:pPr>
              <w:spacing w:before="0" w:after="50"/>
            </w:pPr>
            <w:r>
              <w:rPr>
                <w:color w:val="E8EAF6"/>
                <w:sz w:val="16"/>
                <w:szCs w:val="16"/>
              </w:rPr>
              <w:t xml:space="preserve">Three summaries of this chapter, in the book’s own words, with words taken out. Read all three first: together they are the whole chapter. Then fill the gaps.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1048"/>
        <w:gridCol w:w="3618"/>
        <w:gridCol w:w="4934"/>
      </w:tblGrid>
      <w:tr>
        <w:tc>
          <w:tcPr>
            <w:tcW w:type="pct" w:w="5000"/>
            <w:gridSpan w:val="3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What this handout settles, cycle by cycle</w:t>
            </w:r>
          </w:p>
        </w:tc>
      </w:tr>
      <w:tr>
        <w:tc>
          <w:tcPr>
            <w:tcW w:type="pct" w:w="546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In this handout</w:t>
            </w:r>
          </w:p>
        </w:tc>
        <w:tc>
          <w:tcPr>
            <w:tcW w:type="pct" w:w="1884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What you will read</w:t>
            </w:r>
          </w:p>
        </w:tc>
        <w:tc>
          <w:tcPr>
            <w:tcW w:type="pct" w:w="257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How you check it</w:t>
            </w:r>
          </w:p>
        </w:tc>
      </w:tr>
      <w:tr>
        <w:tc>
          <w:tcPr>
            <w:tcW w:type="pct" w:w="546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The whole chapter, in order</w:t>
            </w:r>
          </w:p>
        </w:tc>
        <w:tc>
          <w:tcPr>
            <w:tcW w:type="pct" w:w="1884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 figure to read</w:t>
            </w:r>
          </w:p>
        </w:tc>
        <w:tc>
          <w:tcPr>
            <w:tcW w:type="pct" w:w="257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 delivery truck wears out mainly with kilometres driven, and the number of kilometres changes a lot from year to year. Which method BEST matches its use?</w:t>
            </w:r>
          </w:p>
        </w:tc>
      </w:tr>
      <w:tr>
        <w:tc>
          <w:tcPr>
            <w:tcW w:type="pct" w:w="546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The chapter’s case set</w:t>
            </w:r>
          </w:p>
        </w:tc>
        <w:tc>
          <w:tcPr>
            <w:tcW w:type="pct" w:w="1884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The chapter’s case set, item by item</w:t>
            </w:r>
          </w:p>
        </w:tc>
        <w:tc>
          <w:tcPr>
            <w:tcW w:type="pct" w:w="257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What has to be settled before any figure in a case set is worked out?</w:t>
            </w:r>
          </w:p>
        </w:tc>
      </w:tr>
      <w:tr>
        <w:tc>
          <w:tcPr>
            <w:tcW w:type="pct" w:w="546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The words it uses precisely</w:t>
            </w:r>
          </w:p>
        </w:tc>
        <w:tc>
          <w:tcPr>
            <w:tcW w:type="pct" w:w="1884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property, plant and equipment (PP&amp;E) · depreciable base · salvage value · useful life · carrying amount · impairment</w:t>
            </w:r>
          </w:p>
        </w:tc>
        <w:tc>
          <w:tcPr>
            <w:tcW w:type="pct" w:w="257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matching, at the end of cycle B</w:t>
            </w:r>
          </w:p>
        </w:tc>
      </w:tr>
    </w:tbl>
    <w:p/>
    <w:p>
      <w:pPr>
        <w:spacing w:before="40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1.  </w:t>
      </w:r>
      <w:r>
        <w:rPr>
          <w:sz w:val="19"/>
          <w:szCs w:val="19"/>
        </w:rPr>
        <w:t xml:space="preserve">Where the chapter starts — Fill every gap. The list holds more words than there are gaps, so one or two of them are not used.</w:t>
      </w:r>
    </w:p>
    <w:p>
      <w:pPr>
        <w:spacing w:before="20" w:after="26"/>
        <w:ind w:left="300"/>
      </w:pPr>
      <w:r>
        <w:rPr>
          <w:color w:val="6B7280"/>
          <w:sz w:val="16"/>
          <w:szCs w:val="16"/>
        </w:rPr>
        <w:t xml:space="preserve">choose from:  </w:t>
      </w:r>
      <w:r>
        <w:rPr>
          <w:b/>
          <w:bCs/>
          <w:color w:val="353A7C"/>
          <w:sz w:val="16"/>
          <w:szCs w:val="16"/>
        </w:rPr>
        <w:t xml:space="preserve">useful life   ·   amortization   ·   Straight-line method   ·   depreciable base   ·   capitalized interest   ·   salvage value   ·   impairment</w:t>
      </w:r>
    </w:p>
    <w:p>
      <w:pPr>
        <w:spacing w:before="36" w:after="36"/>
        <w:ind w:left="300"/>
      </w:pPr>
      <w:r>
        <w:rPr>
          <w:sz w:val="19"/>
          <w:szCs w:val="19"/>
        </w:rPr>
        <w:t xml:space="preserve">SC10-2 Use the </w:t>
      </w:r>
      <w:r>
        <w:rPr>
          <w:u w:val="single"/>
          <w:sz w:val="19"/>
          <w:szCs w:val="19"/>
        </w:rPr>
        <w:t xml:space="preserve">                      </w:t>
      </w:r>
      <w:r>
        <w:rPr>
          <w:sz w:val="19"/>
          <w:szCs w:val="19"/>
        </w:rPr>
        <w:t xml:space="preserve"> example in Section 10.1. Depreciation spreads the </w:t>
      </w:r>
      <w:r>
        <w:rPr>
          <w:u w:val="single"/>
          <w:sz w:val="19"/>
          <w:szCs w:val="19"/>
        </w:rPr>
        <w:t xml:space="preserve">                  </w:t>
      </w:r>
      <w:r>
        <w:rPr>
          <w:sz w:val="19"/>
          <w:szCs w:val="19"/>
        </w:rPr>
        <w:t xml:space="preserve">, cost minus </w:t>
      </w:r>
      <w:r>
        <w:rPr>
          <w:u w:val="single"/>
          <w:sz w:val="19"/>
          <w:szCs w:val="19"/>
        </w:rPr>
        <w:t xml:space="preserve">               </w:t>
      </w:r>
      <w:r>
        <w:rPr>
          <w:sz w:val="19"/>
          <w:szCs w:val="19"/>
        </w:rPr>
        <w:t xml:space="preserve">, over the </w:t>
      </w:r>
      <w:r>
        <w:rPr>
          <w:u w:val="single"/>
          <w:sz w:val="19"/>
          <w:szCs w:val="19"/>
        </w:rPr>
        <w:t xml:space="preserve">             </w:t>
      </w:r>
      <w:r>
        <w:rPr>
          <w:sz w:val="19"/>
          <w:szCs w:val="19"/>
        </w:rPr>
        <w:t xml:space="preserve"> in a systematic and rational way. </w:t>
      </w:r>
      <w:r>
        <w:rPr>
          <w:u w:val="single"/>
          <w:sz w:val="19"/>
          <w:szCs w:val="19"/>
        </w:rPr>
        <w:t xml:space="preserve">                      </w:t>
      </w:r>
      <w:r>
        <w:rPr>
          <w:sz w:val="19"/>
          <w:szCs w:val="19"/>
        </w:rPr>
        <w:t xml:space="preserve">: the same amount each year, depreciable base ÷ useful life.</w:t>
      </w:r>
    </w:p>
    <w:p>
      <w:pPr>
        <w:spacing w:before="40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2.  </w:t>
      </w:r>
      <w:r>
        <w:rPr>
          <w:sz w:val="19"/>
          <w:szCs w:val="19"/>
        </w:rPr>
        <w:t xml:space="preserve">What it settles in the middle — Fill every gap. The list holds more words than there are gaps, so one or two of them are not used.</w:t>
      </w:r>
    </w:p>
    <w:p>
      <w:pPr>
        <w:spacing w:before="20" w:after="26"/>
        <w:ind w:left="300"/>
      </w:pPr>
      <w:r>
        <w:rPr>
          <w:color w:val="6B7280"/>
          <w:sz w:val="16"/>
          <w:szCs w:val="16"/>
        </w:rPr>
        <w:t xml:space="preserve">choose from:  </w:t>
      </w:r>
      <w:r>
        <w:rPr>
          <w:b/>
          <w:bCs/>
          <w:color w:val="353A7C"/>
          <w:sz w:val="16"/>
          <w:szCs w:val="16"/>
        </w:rPr>
        <w:t xml:space="preserve">amortization   ·   impairment   ·   carrying amount   ·   useful life   ·   asset group</w:t>
      </w:r>
    </w:p>
    <w:p>
      <w:pPr>
        <w:spacing w:before="36" w:after="36"/>
        <w:ind w:left="300"/>
      </w:pPr>
      <w:r>
        <w:rPr>
          <w:sz w:val="19"/>
          <w:szCs w:val="19"/>
        </w:rPr>
        <w:t xml:space="preserve">An </w:t>
      </w:r>
      <w:r>
        <w:rPr>
          <w:u w:val="single"/>
          <w:sz w:val="19"/>
          <w:szCs w:val="19"/>
        </w:rPr>
        <w:t xml:space="preserve">            </w:t>
      </w:r>
      <w:r>
        <w:rPr>
          <w:sz w:val="19"/>
          <w:szCs w:val="19"/>
        </w:rPr>
        <w:t xml:space="preserve"> occurs when a company cannot recover an asset's </w:t>
      </w:r>
      <w:r>
        <w:rPr>
          <w:u w:val="single"/>
          <w:sz w:val="19"/>
          <w:szCs w:val="19"/>
        </w:rPr>
        <w:t xml:space="preserve">                 </w:t>
      </w:r>
      <w:r>
        <w:rPr>
          <w:sz w:val="19"/>
          <w:szCs w:val="19"/>
        </w:rPr>
        <w:t xml:space="preserve">. GAAP uses different tests for different assets. The company tests an </w:t>
      </w:r>
      <w:r>
        <w:rPr>
          <w:u w:val="single"/>
          <w:sz w:val="19"/>
          <w:szCs w:val="19"/>
        </w:rPr>
        <w:t xml:space="preserve">             </w:t>
      </w:r>
      <w:r>
        <w:rPr>
          <w:sz w:val="19"/>
          <w:szCs w:val="19"/>
        </w:rPr>
        <w:t xml:space="preserve"> (the lowest level with its own cash flows) only when indicators suggest a problem, such as a sharp fall in market price, physical damage or continuing losses.</w:t>
      </w:r>
    </w:p>
    <w:p>
      <w:pPr>
        <w:spacing w:before="40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3.  </w:t>
      </w:r>
      <w:r>
        <w:rPr>
          <w:sz w:val="19"/>
          <w:szCs w:val="19"/>
        </w:rPr>
        <w:t xml:space="preserve">Where it ends — Fill every gap. The list holds more words than there are gaps, so one or two of them are not used.</w:t>
      </w:r>
    </w:p>
    <w:p>
      <w:pPr>
        <w:spacing w:before="20" w:after="26"/>
        <w:ind w:left="300"/>
      </w:pPr>
      <w:r>
        <w:rPr>
          <w:color w:val="6B7280"/>
          <w:sz w:val="16"/>
          <w:szCs w:val="16"/>
        </w:rPr>
        <w:t xml:space="preserve">choose from:  </w:t>
      </w:r>
      <w:r>
        <w:rPr>
          <w:b/>
          <w:bCs/>
          <w:color w:val="353A7C"/>
          <w:sz w:val="16"/>
          <w:szCs w:val="16"/>
        </w:rPr>
        <w:t xml:space="preserve">indefinite-lived intangible asset   ·   Goodwill   ·   reporting unit   ·   amortization   ·   carrying amount   ·   useful life</w:t>
      </w:r>
    </w:p>
    <w:p>
      <w:pPr>
        <w:spacing w:before="36" w:after="36"/>
        <w:ind w:left="300"/>
      </w:pPr>
      <w:r>
        <w:rPr>
          <w:sz w:val="19"/>
          <w:szCs w:val="19"/>
        </w:rPr>
        <w:t xml:space="preserve">An </w:t>
      </w:r>
      <w:r>
        <w:rPr>
          <w:u w:val="single"/>
          <w:sz w:val="19"/>
          <w:szCs w:val="19"/>
        </w:rPr>
        <w:t xml:space="preserve">                                   </w:t>
      </w:r>
      <w:r>
        <w:rPr>
          <w:sz w:val="19"/>
          <w:szCs w:val="19"/>
        </w:rPr>
        <w:t xml:space="preserve">, such as a brand with no expected end, is not amortized. It is tested at least every year in one step: </w:t>
      </w:r>
      <w:r>
        <w:rPr>
          <w:u w:val="single"/>
          <w:sz w:val="19"/>
          <w:szCs w:val="19"/>
        </w:rPr>
        <w:t xml:space="preserve">                 </w:t>
      </w:r>
      <w:r>
        <w:rPr>
          <w:sz w:val="19"/>
          <w:szCs w:val="19"/>
        </w:rPr>
        <w:t xml:space="preserve"> against fair value. </w:t>
      </w:r>
      <w:r>
        <w:rPr>
          <w:u w:val="single"/>
          <w:sz w:val="19"/>
          <w:szCs w:val="19"/>
        </w:rPr>
        <w:t xml:space="preserve">           </w:t>
      </w:r>
      <w:r>
        <w:rPr>
          <w:sz w:val="19"/>
          <w:szCs w:val="19"/>
        </w:rPr>
        <w:t xml:space="preserve"> is not amortized by public companies. It is tested at least every year at the level of the </w:t>
      </w:r>
      <w:r>
        <w:rPr>
          <w:u w:val="single"/>
          <w:sz w:val="19"/>
          <w:szCs w:val="19"/>
        </w:rPr>
        <w:t xml:space="preserve">                </w:t>
      </w:r>
      <w:r>
        <w:rPr>
          <w:sz w:val="19"/>
          <w:szCs w:val="19"/>
        </w:rPr>
        <w:t xml:space="preserve">.</w:t>
      </w:r>
    </w:p>
    <w:p>
      <w:pPr>
        <w:pageBreakBefore w:val="true"/>
        <w:spacing w:after="0"/>
      </w:pPr>
      <w:r>
        <w:rPr>
          <w:sz w:val="2"/>
          <w:szCs w:val="2"/>
        </w:rPr>
        <w:t xml:space="preserve"> </w:t>
      </w:r>
    </w:p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1056"/>
        <w:gridCol w:w="8544"/>
      </w:tblGrid>
      <w:tr>
        <w:tc>
          <w:tcPr>
            <w:tcW w:type="pct" w:w="550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CYCLE A</w:t>
            </w:r>
          </w:p>
        </w:tc>
        <w:tc>
          <w:tcPr>
            <w:tcW w:type="pct" w:w="4450"/>
            <w:shd w:fill="F2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353A7C"/>
                <w:sz w:val="22"/>
                <w:szCs w:val="22"/>
              </w:rPr>
              <w:t xml:space="preserve">The whole chapter, in order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ORIENT</w:t>
            </w:r>
          </w:p>
        </w:tc>
      </w:tr>
    </w:tbl>
    <w:p>
      <w:pPr>
        <w:pBdr>
          <w:top w:val="single" w:sz="6" w:space="1" w:color="6B7280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4.  </w:t>
      </w:r>
      <w:r>
        <w:rPr>
          <w:sz w:val="19"/>
          <w:szCs w:val="19"/>
        </w:rPr>
        <w:t xml:space="preserve">The sections of a chapter have to be taken in order, because each one uses what the one before it settled.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MODEL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after="40" w:before="90"/>
        <w:jc w:val="center"/>
      </w:pPr>
      <w:r>
        <w:drawing>
          <wp:inline distT="0" distB="0" distL="0" distR="0">
            <wp:extent cx="5734050" cy="3847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READ THE MODEL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pageBreakBefore w:val="true"/>
        <w:spacing w:after="0"/>
      </w:pPr>
      <w:r>
        <w:rPr>
          <w:sz w:val="2"/>
        </w:rPr>
        <w:t xml:space="preserve"> 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5.  </w:t>
      </w:r>
      <w:r>
        <w:rPr>
          <w:sz w:val="19"/>
          <w:szCs w:val="19"/>
        </w:rPr>
        <w:t xml:space="preserve">Which part of this chapter is section 10.1?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The cost of property, plant and equipment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Recommending a depreciation method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Depreciation methods and their effects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Impairment of long-lived assets, intangibles and goodwill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6.  </w:t>
      </w:r>
      <w:r>
        <w:rPr>
          <w:sz w:val="19"/>
          <w:szCs w:val="19"/>
        </w:rPr>
        <w:t xml:space="preserve">Which part of this chapter is section 10.2?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Depreciation methods and their effects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Disposal of fixed assets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The cost of property, plant and equipment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Recommending a depreciation method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7.  </w:t>
      </w:r>
      <w:r>
        <w:rPr>
          <w:sz w:val="19"/>
          <w:szCs w:val="19"/>
        </w:rPr>
        <w:t xml:space="preserve">Which part of this chapter is section 10.3?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Depreciation methods and their effects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The cost of property, plant and equipment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Recommending a depreciation method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Disposal of fixed assets</w:t>
      </w:r>
    </w:p>
    <w:p>
      <w:pPr>
        <w:spacing w:before="40" w:after="24"/>
      </w:pPr>
      <w:r>
        <w:rPr>
          <w:sz w:val="19"/>
          <w:szCs w:val="19"/>
        </w:rPr>
        <w:t xml:space="preserve">Write the letter of the section number beside each section title. Every number is used once.</w:t>
      </w:r>
    </w:p>
    <w:tbl>
      <w:tblPr>
        <w:tblW w:type="pct" w:w="100%"/>
        <w:tblLayout w:type="fixed"/>
        <w:tblBorders>
          <w:top w:val="single" w:color="8186EF" w:sz="4"/>
          <w:left w:val="single" w:color="8186EF" w:sz="4"/>
          <w:bottom w:val="single" w:color="8186EF" w:sz="4"/>
          <w:right w:val="single" w:color="8186EF" w:sz="4"/>
          <w:insideH w:val="single" w:color="8186EF" w:sz="4"/>
          <w:insideV w:val="single" w:color="8186EF" w:sz="4"/>
        </w:tblBorders>
      </w:tblPr>
      <w:tblGrid>
        <w:gridCol w:w="4800"/>
        <w:gridCol w:w="4800"/>
      </w:tblGrid>
      <w:tr>
        <w:tc>
          <w:tcPr>
            <w:tcW w:type="pct" w:w="25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18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A  </w:t>
            </w:r>
            <w:r>
              <w:rPr>
                <w:sz w:val="16"/>
                <w:szCs w:val="16"/>
              </w:rPr>
              <w:t xml:space="preserve">10.1</w:t>
            </w:r>
          </w:p>
        </w:tc>
        <w:tc>
          <w:tcPr>
            <w:tcW w:type="pct" w:w="25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18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D  </w:t>
            </w:r>
            <w:r>
              <w:rPr>
                <w:sz w:val="16"/>
                <w:szCs w:val="16"/>
              </w:rPr>
              <w:t xml:space="preserve">10.4</w:t>
            </w:r>
          </w:p>
        </w:tc>
      </w:tr>
      <w:tr>
        <w:tc>
          <w:tcPr>
            <w:tcW w:type="pct" w:w="25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18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B  </w:t>
            </w:r>
            <w:r>
              <w:rPr>
                <w:sz w:val="16"/>
                <w:szCs w:val="16"/>
              </w:rPr>
              <w:t xml:space="preserve">10.2</w:t>
            </w:r>
          </w:p>
        </w:tc>
        <w:tc>
          <w:tcPr>
            <w:tcW w:type="pct" w:w="25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18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E  </w:t>
            </w:r>
            <w:r>
              <w:rPr>
                <w:sz w:val="16"/>
                <w:szCs w:val="16"/>
              </w:rPr>
              <w:t xml:space="preserve">10.5</w:t>
            </w:r>
          </w:p>
        </w:tc>
      </w:tr>
      <w:tr>
        <w:tc>
          <w:tcPr>
            <w:tcW w:type="pct" w:w="25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18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C  </w:t>
            </w:r>
            <w:r>
              <w:rPr>
                <w:sz w:val="16"/>
                <w:szCs w:val="16"/>
              </w:rPr>
              <w:t xml:space="preserve">10.3</w:t>
            </w:r>
          </w:p>
        </w:tc>
        <w:tc>
          <w:tcPr>
            <w:tcW w:type="pct" w:w="25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24" w:after="24"/>
            </w:pPr>
            <w:r>
              <w:rPr>
                <w:sz w:val="16"/>
                <w:szCs w:val="16"/>
              </w:rPr>
              <w:t xml:space="preserve"/>
            </w:r>
          </w:p>
        </w:tc>
      </w:tr>
    </w:tbl>
    <w:p/>
    <w:p>
      <w:pPr>
        <w:spacing w:before="24" w:after="24"/>
        <w:ind w:left="300" w:hanging="300"/>
      </w:pPr>
      <w:r>
        <w:rPr>
          <w:b/>
          <w:bCs/>
          <w:color w:val="353A7C"/>
          <w:sz w:val="18"/>
          <w:szCs w:val="18"/>
        </w:rPr>
        <w:t xml:space="preserve">8.  </w:t>
      </w:r>
      <w:r>
        <w:rPr>
          <w:sz w:val="18"/>
          <w:szCs w:val="18"/>
        </w:rPr>
        <w:t xml:space="preserve">The cost of property, plant and equipment</w:t>
      </w:r>
      <w:r>
        <w:rPr>
          <w:sz w:val="18"/>
          <w:szCs w:val="18"/>
        </w:rPr>
        <w:t xml:space="preserve">      </w:t>
      </w:r>
      <w:r>
        <w:rPr>
          <w:u w:val="single"/>
          <w:sz w:val="18"/>
          <w:szCs w:val="18"/>
        </w:rPr>
        <w:t xml:space="preserve">        </w:t>
      </w:r>
    </w:p>
    <w:p>
      <w:pPr>
        <w:spacing w:before="24" w:after="24"/>
        <w:ind w:left="300" w:hanging="300"/>
      </w:pPr>
      <w:r>
        <w:rPr>
          <w:b/>
          <w:bCs/>
          <w:color w:val="353A7C"/>
          <w:sz w:val="18"/>
          <w:szCs w:val="18"/>
        </w:rPr>
        <w:t xml:space="preserve">9.  </w:t>
      </w:r>
      <w:r>
        <w:rPr>
          <w:sz w:val="18"/>
          <w:szCs w:val="18"/>
        </w:rPr>
        <w:t xml:space="preserve">Depreciation methods and their effects</w:t>
      </w:r>
      <w:r>
        <w:rPr>
          <w:sz w:val="18"/>
          <w:szCs w:val="18"/>
        </w:rPr>
        <w:t xml:space="preserve">      </w:t>
      </w:r>
      <w:r>
        <w:rPr>
          <w:u w:val="single"/>
          <w:sz w:val="18"/>
          <w:szCs w:val="18"/>
        </w:rPr>
        <w:t xml:space="preserve">        </w:t>
      </w:r>
    </w:p>
    <w:p>
      <w:pPr>
        <w:spacing w:before="24" w:after="24"/>
        <w:ind w:left="300" w:hanging="300"/>
      </w:pPr>
      <w:r>
        <w:rPr>
          <w:b/>
          <w:bCs/>
          <w:color w:val="353A7C"/>
          <w:sz w:val="18"/>
          <w:szCs w:val="18"/>
        </w:rPr>
        <w:t xml:space="preserve">10.  </w:t>
      </w:r>
      <w:r>
        <w:rPr>
          <w:sz w:val="18"/>
          <w:szCs w:val="18"/>
        </w:rPr>
        <w:t xml:space="preserve">Recommending a depreciation method</w:t>
      </w:r>
      <w:r>
        <w:rPr>
          <w:sz w:val="18"/>
          <w:szCs w:val="18"/>
        </w:rPr>
        <w:t xml:space="preserve">      </w:t>
      </w:r>
      <w:r>
        <w:rPr>
          <w:u w:val="single"/>
          <w:sz w:val="18"/>
          <w:szCs w:val="18"/>
        </w:rPr>
        <w:t xml:space="preserve">        </w:t>
      </w:r>
    </w:p>
    <w:p>
      <w:pPr>
        <w:spacing w:before="24" w:after="24"/>
        <w:ind w:left="300" w:hanging="300"/>
      </w:pPr>
      <w:r>
        <w:rPr>
          <w:b/>
          <w:bCs/>
          <w:color w:val="353A7C"/>
          <w:sz w:val="18"/>
          <w:szCs w:val="18"/>
        </w:rPr>
        <w:t xml:space="preserve">11.  </w:t>
      </w:r>
      <w:r>
        <w:rPr>
          <w:sz w:val="18"/>
          <w:szCs w:val="18"/>
        </w:rPr>
        <w:t xml:space="preserve">Disposal of fixed assets</w:t>
      </w:r>
      <w:r>
        <w:rPr>
          <w:sz w:val="18"/>
          <w:szCs w:val="18"/>
        </w:rPr>
        <w:t xml:space="preserve">      </w:t>
      </w:r>
      <w:r>
        <w:rPr>
          <w:u w:val="single"/>
          <w:sz w:val="18"/>
          <w:szCs w:val="18"/>
        </w:rPr>
        <w:t xml:space="preserve">        </w:t>
      </w:r>
    </w:p>
    <w:p>
      <w:pPr>
        <w:spacing w:before="24" w:after="24"/>
        <w:ind w:left="300" w:hanging="300"/>
      </w:pPr>
      <w:r>
        <w:rPr>
          <w:b/>
          <w:bCs/>
          <w:color w:val="353A7C"/>
          <w:sz w:val="18"/>
          <w:szCs w:val="18"/>
        </w:rPr>
        <w:t xml:space="preserve">12.  </w:t>
      </w:r>
      <w:r>
        <w:rPr>
          <w:sz w:val="18"/>
          <w:szCs w:val="18"/>
        </w:rPr>
        <w:t xml:space="preserve">Impairment of long-lived assets, intangibles and goodwill</w:t>
      </w:r>
      <w:r>
        <w:rPr>
          <w:sz w:val="18"/>
          <w:szCs w:val="18"/>
        </w:rPr>
        <w:t xml:space="preserve">      </w:t>
      </w:r>
      <w:r>
        <w:rPr>
          <w:u w:val="single"/>
          <w:sz w:val="18"/>
          <w:szCs w:val="18"/>
        </w:rPr>
        <w:t xml:space="preserve">        </w:t>
      </w:r>
    </w:p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D3F7E"/>
                <w:sz w:val="17"/>
                <w:szCs w:val="17"/>
              </w:rPr>
              <w:t xml:space="preserve">APPLY</w:t>
            </w:r>
          </w:p>
        </w:tc>
      </w:tr>
    </w:tbl>
    <w:p>
      <w:pPr>
        <w:pBdr>
          <w:top w:val="single" w:sz="6" w:space="1" w:color="6D3F7E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13.  </w:t>
      </w:r>
      <w:r>
        <w:rPr>
          <w:sz w:val="19"/>
          <w:szCs w:val="19"/>
        </w:rPr>
        <w:t xml:space="preserve">Use the Jordan plant example. What impairment loss does Orontes record (USD 000)?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1,900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800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7,100</w:t>
            </w:r>
          </w:p>
        </w:tc>
      </w:tr>
    </w:tbl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1F7A6A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WORK IN PAIRS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1F7A6A"/>
                <w:sz w:val="18"/>
                <w:szCs w:val="18"/>
              </w:rPr>
              <w:t xml:space="preserve">Compare every answer with your partner first.</w:t>
            </w:r>
          </w:p>
        </w:tc>
      </w:tr>
    </w:tbl>
    <w:p>
      <w:pPr>
        <w:spacing w:before="20" w:after="50"/>
      </w:pPr>
      <w:r>
        <w:rPr>
          <w:b/>
          <w:bCs/>
          <w:color w:val="1F7A6A"/>
          <w:sz w:val="16"/>
          <w:szCs w:val="16"/>
        </w:rPr>
        <w:t xml:space="preserve">If you disagree: </w:t>
      </w:r>
      <w:r>
        <w:rPr>
          <w:color w:val="6B7280"/>
          <w:sz w:val="16"/>
          <w:szCs w:val="16"/>
        </w:rPr>
        <w:t xml:space="preserve">name the section each question belongs to. Most disagreements turn out to be about the section, not the answer.</w:t>
      </w:r>
    </w:p>
    <w:tbl>
      <w:tblPr>
        <w:tblW w:type="pct" w:w="100%"/>
        <w:tblLayout w:type="fixed"/>
        <w:tblBorders>
          <w:top w:val="single" w:color="C0483F" w:sz="12"/>
          <w:left w:val="single" w:color="C0483F" w:sz="12"/>
          <w:bottom w:val="single" w:color="C0483F" w:sz="12"/>
          <w:right w:val="single" w:color="C0483F" w:sz="12"/>
          <w:insideH w:val="single" w:color="C0483F" w:sz="12"/>
          <w:insideV w:val="single" w:color="C0483F" w:sz="12"/>
        </w:tblBorders>
      </w:tblPr>
      <w:tblGrid>
        <w:gridCol w:w="9600"/>
      </w:tblGrid>
      <w:tr>
        <w:tc>
          <w:tcPr>
            <w:tcW w:type="pct" w:w="5000"/>
            <w:shd w:fill="FBF0E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50" w:after="24"/>
            </w:pPr>
            <w:r>
              <w:rPr>
                <w:b/>
                <w:bCs/>
                <w:color w:val="C0483F"/>
                <w:sz w:val="16"/>
                <w:szCs w:val="16"/>
              </w:rPr>
              <w:t xml:space="preserve">CHECKPOINT  </w:t>
            </w:r>
            <w:r>
              <w:rPr>
                <w:b/>
                <w:bCs/>
                <w:color w:val="353A7C"/>
                <w:sz w:val="19"/>
                <w:szCs w:val="19"/>
              </w:rPr>
              <w:t xml:space="preserve">14.  </w:t>
            </w:r>
            <w:r>
              <w:rPr>
                <w:sz w:val="19"/>
                <w:szCs w:val="19"/>
              </w:rPr>
              <w:t xml:space="preserve">A delivery truck wears out mainly with kilometres driven, and the number of kilometres changes a lot from year to year. Which method BEST matches its use?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Straight-line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Double-declining balance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Units of production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Sum-of-the-years'-digits</w:t>
            </w:r>
          </w:p>
          <w:p>
            <w:pPr>
              <w:spacing w:before="20" w:after="50"/>
            </w:pPr>
            <w:r>
              <w:rPr>
                <w:color w:val="C0483F"/>
                <w:sz w:val="17"/>
                <w:szCs w:val="17"/>
              </w:rPr>
              <w:t xml:space="preserve">If you got it wrong: go back to the MODEL move of cycle A and find the section this question belongs to.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1056"/>
        <w:gridCol w:w="8544"/>
      </w:tblGrid>
      <w:tr>
        <w:tc>
          <w:tcPr>
            <w:tcW w:type="pct" w:w="550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CYCLE B</w:t>
            </w:r>
          </w:p>
        </w:tc>
        <w:tc>
          <w:tcPr>
            <w:tcW w:type="pct" w:w="4450"/>
            <w:shd w:fill="F2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353A7C"/>
                <w:sz w:val="22"/>
                <w:szCs w:val="22"/>
              </w:rPr>
              <w:t xml:space="preserve">The chapter’s case set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ORIENT</w:t>
            </w:r>
          </w:p>
        </w:tc>
      </w:tr>
    </w:tbl>
    <w:p>
      <w:pPr>
        <w:pBdr>
          <w:top w:val="single" w:sz="6" w:space="1" w:color="6B7280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15.  </w:t>
      </w:r>
      <w:r>
        <w:rPr>
          <w:sz w:val="19"/>
          <w:szCs w:val="19"/>
        </w:rPr>
        <w:t xml:space="preserve">In a case question, the exhibit has to be read and adjusted before any figure is worked out.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MODEL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3956"/>
        <w:gridCol w:w="5644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The chapter’s case set, item by item</w:t>
            </w:r>
          </w:p>
        </w:tc>
      </w:tr>
      <w:tr>
        <w:tc>
          <w:tcPr>
            <w:tcW w:type="pct" w:w="2061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Item</w:t>
            </w:r>
          </w:p>
        </w:tc>
        <w:tc>
          <w:tcPr>
            <w:tcW w:type="pct" w:w="2939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What it asks</w:t>
            </w:r>
          </w:p>
        </w:tc>
      </w:tr>
      <w:tr>
        <w:tc>
          <w:tcPr>
            <w:tcW w:type="pct" w:w="2061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C10-1</w:t>
            </w:r>
          </w:p>
        </w:tc>
        <w:tc>
          <w:tcPr>
            <w:tcW w:type="pct" w:w="2939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Match each asset to the test that applies. (On the exam screen you would drag each asset into a box.)</w:t>
            </w:r>
          </w:p>
        </w:tc>
      </w:tr>
      <w:tr>
        <w:tc>
          <w:tcPr>
            <w:tcW w:type="pct" w:w="2061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C10-2</w:t>
            </w:r>
          </w:p>
        </w:tc>
        <w:tc>
          <w:tcPr>
            <w:tcW w:type="pct" w:w="2939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Enter the impairment loss for the pastry line (P).</w:t>
            </w:r>
          </w:p>
        </w:tc>
      </w:tr>
      <w:tr>
        <w:tc>
          <w:tcPr>
            <w:tcW w:type="pct" w:w="2061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C10-3</w:t>
            </w:r>
          </w:p>
        </w:tc>
        <w:tc>
          <w:tcPr>
            <w:tcW w:type="pct" w:w="2939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Enter the impairment loss for the warehouse (W).</w:t>
            </w:r>
          </w:p>
        </w:tc>
      </w:tr>
      <w:tr>
        <w:tc>
          <w:tcPr>
            <w:tcW w:type="pct" w:w="2061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C10-4</w:t>
            </w:r>
          </w:p>
        </w:tc>
        <w:tc>
          <w:tcPr>
            <w:tcW w:type="pct" w:w="2939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Enter the goodwill impairment loss (G).</w:t>
            </w:r>
          </w:p>
        </w:tc>
      </w:tr>
      <w:tr>
        <w:tc>
          <w:tcPr>
            <w:tcW w:type="pct" w:w="2061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C10-5</w:t>
            </w:r>
          </w:p>
        </w:tc>
        <w:tc>
          <w:tcPr>
            <w:tcW w:type="pct" w:w="2939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Enter the total impairment and held-for-sale losses for all five assets.</w:t>
            </w:r>
          </w:p>
        </w:tc>
      </w:tr>
      <w:tr>
        <w:tc>
          <w:tcPr>
            <w:tcW w:type="pct" w:w="2061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C10-6</w:t>
            </w:r>
          </w:p>
        </w:tc>
        <w:tc>
          <w:tcPr>
            <w:tcW w:type="pct" w:w="2939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In 2026 the fair value of the pastry line recovers to its old carrying amount. Under U.S. GAAP, the 2025 loss: [select]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READ THE MODEL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16.  </w:t>
      </w:r>
      <w:r>
        <w:rPr>
          <w:sz w:val="19"/>
          <w:szCs w:val="19"/>
        </w:rPr>
        <w:t xml:space="preserve">Which of these does item C10-1 ask for?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In 2026 the fair value of the pastry line recovers to its old carrying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Enter the impairment loss for the pastry line (P).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Match each asset to the test that applies. (On the exam screen you wou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Enter the total impairment and held-for-sale losses for all five asset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17.  </w:t>
      </w:r>
      <w:r>
        <w:rPr>
          <w:sz w:val="19"/>
          <w:szCs w:val="19"/>
        </w:rPr>
        <w:t xml:space="preserve">Which of these does item C10-2 ask for?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Enter the impairment loss for the pastry line (P).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Match each asset to the test that applies. (On the exam screen you wou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Enter the goodwill impairment loss (G).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Enter the impairment loss for the warehouse (W).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18.  </w:t>
      </w:r>
      <w:r>
        <w:rPr>
          <w:sz w:val="19"/>
          <w:szCs w:val="19"/>
        </w:rPr>
        <w:t xml:space="preserve">Which of these does item C10-3 ask for?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Match each asset to the test that applies. (On the exam screen you wou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Enter the impairment loss for the pastry line (P).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Enter the goodwill impairment loss (G).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Enter the impairment loss for the warehouse (W).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19.  </w:t>
      </w:r>
      <w:r>
        <w:rPr>
          <w:sz w:val="19"/>
          <w:szCs w:val="19"/>
        </w:rPr>
        <w:t xml:space="preserve">Which of these does item C10-4 ask for?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Enter the impairment loss for the warehouse (W).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Enter the goodwill impairment loss (G).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Match each asset to the test that applies. (On the exam screen you wou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Enter the impairment loss for the pastry line (P).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20.  </w:t>
      </w:r>
      <w:r>
        <w:rPr>
          <w:sz w:val="19"/>
          <w:szCs w:val="19"/>
        </w:rPr>
        <w:t xml:space="preserve">Which of these does item C10-5 ask for?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Match each asset to the test that applies. (On the exam screen you wou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In 2026 the fair value of the pastry line recovers to its old carrying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Enter the impairment loss for the pastry line (P).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Enter the total impairment and held-for-sale losses for all five asset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21.  </w:t>
      </w:r>
      <w:r>
        <w:rPr>
          <w:sz w:val="19"/>
          <w:szCs w:val="19"/>
        </w:rPr>
        <w:t xml:space="preserve">Which of these does item C10-6 ask for?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Enter the total impairment and held-for-sale losses for all five asset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Match each asset to the test that applies. (On the exam screen you wou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Enter the impairment loss for the pastry line (P).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In 2026 the fair value of the pastry line recovers to its old carrying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D3F7E"/>
                <w:sz w:val="17"/>
                <w:szCs w:val="17"/>
              </w:rPr>
              <w:t xml:space="preserve">APPLY</w:t>
            </w:r>
          </w:p>
        </w:tc>
      </w:tr>
    </w:tbl>
    <w:p>
      <w:pPr>
        <w:pBdr>
          <w:top w:val="single" w:sz="6" w:space="1" w:color="6D3F7E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22.  </w:t>
      </w:r>
      <w:r>
        <w:rPr>
          <w:sz w:val="19"/>
          <w:szCs w:val="19"/>
        </w:rPr>
        <w:t xml:space="preserve">A delivery truck wears out mainly with kilometres driven, and the number of kilometres changes a lot from year to year. Which method BEST matches its use?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Straight-line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Units of production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Double-declining balance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Sum-of-the-years'-digits</w:t>
            </w:r>
          </w:p>
        </w:tc>
      </w:tr>
    </w:tbl>
    <w:p>
      <w:pPr>
        <w:pageBreakBefore w:val="true"/>
        <w:spacing w:after="0"/>
      </w:pPr>
      <w:r>
        <w:rPr>
          <w:sz w:val="2"/>
        </w:rPr>
        <w:t xml:space="preserve"> 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23.  </w:t>
      </w:r>
      <w:r>
        <w:rPr>
          <w:sz w:val="19"/>
          <w:szCs w:val="19"/>
        </w:rPr>
        <w:t xml:space="preserve">Which reason BEST supports an accelerated method for a computer server?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It gives equal service each year.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It loses usefulness quickly as technology changes.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It must use the same method as the tax return.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Accelerated methods raise early income.</w:t>
      </w:r>
    </w:p>
    <w:tbl>
      <w:tblPr>
        <w:tblW w:type="pct" w:w="100%"/>
        <w:tblLayout w:type="fixed"/>
        <w:tblBorders>
          <w:top w:val="single" w:color="C0483F" w:sz="12"/>
          <w:left w:val="single" w:color="C0483F" w:sz="12"/>
          <w:bottom w:val="single" w:color="C0483F" w:sz="12"/>
          <w:right w:val="single" w:color="C0483F" w:sz="12"/>
          <w:insideH w:val="single" w:color="C0483F" w:sz="12"/>
          <w:insideV w:val="single" w:color="C0483F" w:sz="12"/>
        </w:tblBorders>
      </w:tblPr>
      <w:tblGrid>
        <w:gridCol w:w="9600"/>
      </w:tblGrid>
      <w:tr>
        <w:tc>
          <w:tcPr>
            <w:tcW w:type="pct" w:w="5000"/>
            <w:shd w:fill="FBF0E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50" w:after="24"/>
            </w:pPr>
            <w:r>
              <w:rPr>
                <w:b/>
                <w:bCs/>
                <w:color w:val="C0483F"/>
                <w:sz w:val="16"/>
                <w:szCs w:val="16"/>
              </w:rPr>
              <w:t xml:space="preserve">CHECKPOINT  </w:t>
            </w:r>
            <w:r>
              <w:rPr>
                <w:b/>
                <w:bCs/>
                <w:color w:val="353A7C"/>
                <w:sz w:val="19"/>
                <w:szCs w:val="19"/>
              </w:rPr>
              <w:t xml:space="preserve">24.  </w:t>
            </w:r>
            <w:r>
              <w:rPr>
                <w:sz w:val="19"/>
                <w:szCs w:val="19"/>
              </w:rPr>
              <w:t xml:space="preserve">What has to be settled before any figure in a case set is worked out?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the exhibit, adjusted for every note that goes with it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the method the company uses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the tax rate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the order of the items</w:t>
            </w:r>
          </w:p>
          <w:p>
            <w:pPr>
              <w:spacing w:before="20" w:after="50"/>
            </w:pPr>
            <w:r>
              <w:rPr>
                <w:color w:val="C0483F"/>
                <w:sz w:val="17"/>
                <w:szCs w:val="17"/>
              </w:rPr>
              <w:t xml:space="preserve">If you got it wrong: reread the case panel in the MODEL move of cycle B.</w:t>
            </w:r>
          </w:p>
        </w:tc>
      </w:tr>
    </w:tbl>
    <w:p/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353A7C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FROM MEMORY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353A7C"/>
                <w:sz w:val="18"/>
                <w:szCs w:val="18"/>
              </w:rPr>
              <w:t xml:space="preserve">Close the earlier pages first.</w:t>
            </w:r>
          </w:p>
        </w:tc>
      </w:tr>
    </w:tbl>
    <w:p>
      <w:pPr>
        <w:spacing w:before="30" w:after="40"/>
      </w:pPr>
      <w:r>
        <w:rPr>
          <w:b/>
          <w:bCs/>
          <w:color w:val="353A7C"/>
          <w:sz w:val="19"/>
          <w:szCs w:val="19"/>
        </w:rPr>
        <w:t xml:space="preserve">25.  </w:t>
      </w:r>
      <w:r>
        <w:rPr>
          <w:sz w:val="19"/>
          <w:szCs w:val="19"/>
        </w:rPr>
        <w:t xml:space="preserve">Rebuild the chapter map. Write every section in order and what each one settles.</w:t>
      </w:r>
    </w:p>
    <w:p>
      <w:pPr>
        <w:spacing w:after="40" w:before="90"/>
        <w:jc w:val="center"/>
      </w:pPr>
      <w:r>
        <w:drawing>
          <wp:inline distT="0" distB="0" distL="0" distR="0">
            <wp:extent cx="5734050" cy="3847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1F7A6A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TEACH IT BACK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1F7A6A"/>
                <w:sz w:val="18"/>
                <w:szCs w:val="18"/>
              </w:rPr>
              <w:t xml:space="preserve">Write it for a student starting this chapter tomorrow — not for the marker.</w:t>
            </w:r>
          </w:p>
        </w:tc>
      </w:tr>
    </w:tbl>
    <w:tbl>
      <w:tblPr>
        <w:tblW w:type="pct" w:w="100%"/>
        <w:tblLayout w:type="fixed"/>
        <w:tblBorders>
          <w:top w:val="single" w:color="1F7A6A" w:sz="10"/>
          <w:left w:val="single" w:color="1F7A6A" w:sz="10"/>
          <w:bottom w:val="single" w:color="1F7A6A" w:sz="10"/>
          <w:right w:val="single" w:color="1F7A6A" w:sz="10"/>
          <w:insideH w:val="single" w:color="1F7A6A" w:sz="10"/>
          <w:insideV w:val="single" w:color="1F7A6A" w:sz="10"/>
        </w:tblBorders>
      </w:tblPr>
      <w:tblGrid>
        <w:gridCol w:w="9600"/>
      </w:tblGrid>
      <w:tr>
        <w:tc>
          <w:tcPr>
            <w:tcW w:type="pct" w:w="5000"/>
            <w:shd w:fill="EEF6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24"/>
            </w:pPr>
            <w:r>
              <w:rPr>
                <w:b/>
                <w:bCs/>
                <w:color w:val="1F7A6A"/>
                <w:sz w:val="19"/>
                <w:szCs w:val="19"/>
              </w:rPr>
              <w:t xml:space="preserve">26.  </w:t>
            </w:r>
            <w:r>
              <w:rPr>
                <w:sz w:val="19"/>
                <w:szCs w:val="19"/>
              </w:rPr>
              <w:t xml:space="preserve">In four or five sentences, write what the whole chapter settles, section by section.</w:t>
            </w:r>
          </w:p>
          <w:p>
            <w:pPr>
              <w:spacing w:after="36"/>
            </w:pPr>
            <w:r>
              <w:rPr>
                <w:color w:val="6B7280"/>
                <w:sz w:val="16"/>
                <w:szCs w:val="16"/>
              </w:rPr>
              <w:t xml:space="preserve">every one of these words must appear:  </w:t>
            </w:r>
            <w:r>
              <w:rPr>
                <w:b/>
                <w:bCs/>
                <w:color w:val="1F7A6A"/>
                <w:sz w:val="16"/>
                <w:szCs w:val="16"/>
              </w:rPr>
              <w:t xml:space="preserve">property, plant and equipment (PP&amp;E)  ·  depreciable base  ·  salvage value  ·  useful life</w:t>
            </w:r>
          </w:p>
        </w:tc>
      </w:tr>
    </w:tbl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/>
    <w:p>
      <w:pPr>
        <w:sectPr>
          <w:headerReference w:type="default" r:id="rIdHdr6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sectPr>
      <w:headerReference w:type="default" r:id="rIdHdr6"/>
      <w:pgSz w:w="11906" w:h="16838" w:orient="portrait"/>
      <w:pgMar w:top="1180" w:right="1000" w:bottom="900" w:left="1000" w:header="708" w:footer="708" w:gutter="0"/>
      <w:docGrid w:linePitch="360"/>
      <w:pgNumTyp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10.1 · The cost of property, plant and equipment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10.1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5</w:t>
          </w:r>
        </w:p>
      </w:tc>
    </w:tr>
  </w:tbl>
  <w:p>
    <w:pPr>
      <w:spacing w:after="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10.2 · Depreciation methods and their effects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10.2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6</w:t>
          </w:r>
        </w:p>
      </w:tc>
    </w:tr>
  </w:tbl>
  <w:p>
    <w:pPr>
      <w:spacing w:after="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10.3 · Recommending a depreciation method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10.3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5</w:t>
          </w:r>
        </w:p>
      </w:tc>
    </w:tr>
  </w:tbl>
  <w:p>
    <w:pPr>
      <w:spacing w:after="0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10.4 · Disposal of fixed assets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10.4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4</w:t>
          </w:r>
        </w:p>
      </w:tc>
    </w:tr>
  </w:tbl>
  <w:p>
    <w:pPr>
      <w:spacing w:after="0"/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10.5 · Impairment of long-lived assets, intangibles and goodwill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10.5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5</w:t>
          </w:r>
        </w:p>
      </w:tc>
    </w:tr>
  </w:tbl>
  <w:p>
    <w:pPr>
      <w:spacing w:after="0"/>
    </w:pP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10.6 · The whole chapter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10.6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5</w:t>
          </w:r>
        </w:p>
      </w:tc>
    </w:tr>
  </w:tbl>
  <w:p>
    <w:pPr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defaultTabStop w:val="720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 standalone="yes"?><Relationships xmlns="http://schemas.openxmlformats.org/package/2006/relationships"><Relationship Id="rIdstyles" Target="styles.xml" Type="http://schemas.openxmlformats.org/officeDocument/2006/relationships/styles"/><Relationship Id="rIdnumbering" Target="numbering.xml" Type="http://schemas.openxmlformats.org/officeDocument/2006/relationships/numbering"/><Relationship Id="rIdfontTable" Target="fontTable.xml" Type="http://schemas.openxmlformats.org/officeDocument/2006/relationships/fontTable"/><Relationship Id="rIdsettings" Target="settings.xml" Type="http://schemas.openxmlformats.org/officeDocument/2006/relationships/settings"/><Relationship Id="rId101" Target="media/612cdd57309997b8ded662276d348652270a9864.png" Type="http://schemas.openxmlformats.org/officeDocument/2006/relationships/image"/><Relationship Id="rId102" Target="media/fc420d751a8c3710ec18e86bc0f75c27da0f4442.png" Type="http://schemas.openxmlformats.org/officeDocument/2006/relationships/image"/><Relationship Id="rId103" Target="media/901d584da79361e0e00dcce5b2d7a70cb65c2bea.png" Type="http://schemas.openxmlformats.org/officeDocument/2006/relationships/image"/><Relationship Id="rId104" Target="media/c9d25f02098ae4c143eb84e93e67681391e882a9.png" Type="http://schemas.openxmlformats.org/officeDocument/2006/relationships/image"/><Relationship Id="rId105" Target="media/59deca9bd5f444dfe689008ab44c3a848f33a5b9.png" Type="http://schemas.openxmlformats.org/officeDocument/2006/relationships/image"/><Relationship Id="rId106" Target="media/b3960b9349de08a0c131642000a66c257466ed6a.png" Type="http://schemas.openxmlformats.org/officeDocument/2006/relationships/image"/><Relationship Id="rId107" Target="media/9711e8ec48b20c124f07491c0684620994256e22.png" Type="http://schemas.openxmlformats.org/officeDocument/2006/relationships/image"/><Relationship Id="rId108" Target="media/051a16db39f164b42e6e2b7703d2e05d36288bec.png" Type="http://schemas.openxmlformats.org/officeDocument/2006/relationships/image"/><Relationship Id="rId109" Target="media/0812f5fecfe8c044f5ee80b1e662186b23643493.png" Type="http://schemas.openxmlformats.org/officeDocument/2006/relationships/image"/><Relationship Id="rId110" Target="media/79663f415dda49d4bcfeff9cba8aad9ffc92e2af.png" Type="http://schemas.openxmlformats.org/officeDocument/2006/relationships/image"/><Relationship Id="rId111" Target="media/255718cde5289190c58dac69948bf0fa6ba7e679.png" Type="http://schemas.openxmlformats.org/officeDocument/2006/relationships/image"/><Relationship Id="rIdHdr1" Target="header1.xml" Type="http://schemas.openxmlformats.org/officeDocument/2006/relationships/header"/><Relationship Id="rIdHdr2" Target="header2.xml" Type="http://schemas.openxmlformats.org/officeDocument/2006/relationships/header"/><Relationship Id="rIdHdr3" Target="header3.xml" Type="http://schemas.openxmlformats.org/officeDocument/2006/relationships/header"/><Relationship Id="rIdHdr4" Target="header4.xml" Type="http://schemas.openxmlformats.org/officeDocument/2006/relationships/header"/><Relationship Id="rIdHdr5" Target="header5.xml" Type="http://schemas.openxmlformats.org/officeDocument/2006/relationships/header"/><Relationship Id="rIdHdr6" Target="header6.xml" Type="http://schemas.openxmlformats.org/officeDocument/2006/relationships/header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CMA Part 1 · Book 1 · Chapter 10</dc:title>
  <dc:subject>Long-Lived Assets: Depreciation, Disposal and Impairment</dc:subject>
  <cp:category>Student Book</cp:category>
</cp:coreProperties>
</file>