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13.1 · Why book income and taxable income differ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government · different · differently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different · taxable · usually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differently · recognizes · transactions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Financial statements follow U.S. GAAP and are prepared for investors. Tax returns follow tax law and are prepared for the government. The two sets of rules have different goals, so taxable income is usually not the same as income before income taxes.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w:t>
      </w:r>
    </w:p>
    <w:p>
      <w:pPr>
        <w:spacing w:after="18"/>
        <w:ind w:left="300" w:hanging="300"/>
      </w:pPr>
      <w:r>
        <w:rPr>
          <w:b/>
          <w:bCs/>
          <w:color w:val="8186EF"/>
          <w:sz w:val="16"/>
          <w:szCs w:val="16"/>
        </w:rPr>
        <w:t xml:space="preserve">2  </w:t>
      </w:r>
      <w:r>
        <w:rPr>
          <w:sz w:val="16"/>
          <w:szCs w:val="16"/>
        </w:rPr>
        <w:t xml:space="preserve">The book writes: “The two sets of rules have different goals, so taxable income is usually not the same as income before income taxes.”</w:t>
      </w:r>
    </w:p>
    <w:p>
      <w:pPr>
        <w:spacing w:after="18"/>
        <w:ind w:left="300" w:hanging="300"/>
      </w:pPr>
      <w:r>
        <w:rPr>
          <w:b/>
          <w:bCs/>
          <w:color w:val="8186EF"/>
          <w:sz w:val="16"/>
          <w:szCs w:val="16"/>
        </w:rPr>
        <w:t xml:space="preserve">3  </w:t>
      </w:r>
      <w:r>
        <w:rPr>
          <w:sz w:val="16"/>
          <w:szCs w:val="16"/>
        </w:rPr>
        <w:t xml:space="preserve">The book writes: “If a company simply reported the tax it paid, its tax expense would jump around when the rules timed items differently. The company recognizes the tax effects of transactions in the same periods as the transactions themselves, using deferred taxes.”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3,958,800 as the amount of Income before income taxes.</w:t>
      </w:r>
    </w:p>
    <w:p>
      <w:pPr>
        <w:spacing w:after="18"/>
        <w:ind w:left="300" w:hanging="300"/>
      </w:pPr>
      <w:r>
        <w:rPr>
          <w:b/>
          <w:bCs/>
          <w:color w:val="8186EF"/>
          <w:sz w:val="16"/>
          <w:szCs w:val="16"/>
        </w:rPr>
        <w:t xml:space="preserve">6  </w:t>
      </w:r>
      <w:r>
        <w:rPr>
          <w:sz w:val="16"/>
          <w:szCs w:val="16"/>
        </w:rPr>
        <w:t xml:space="preserve">The book’s own table gives 989,700 as the amount of Income tax expense (25% combined federal and state rate).</w:t>
      </w:r>
    </w:p>
    <w:p>
      <w:pPr>
        <w:spacing w:after="18"/>
        <w:ind w:left="300" w:hanging="300"/>
      </w:pPr>
      <w:r>
        <w:rPr>
          <w:b/>
          <w:bCs/>
          <w:color w:val="8186EF"/>
          <w:sz w:val="16"/>
          <w:szCs w:val="16"/>
        </w:rPr>
        <w:t xml:space="preserve">7  </w:t>
      </w:r>
      <w:r>
        <w:rPr>
          <w:sz w:val="16"/>
          <w:szCs w:val="16"/>
        </w:rPr>
        <w:t xml:space="preserve">The book’s own table gives 889,700 as the amount of Current tax expense (taxes on 2025 taxable income).</w:t>
      </w:r>
    </w:p>
    <w:p>
      <w:pPr>
        <w:spacing w:after="18"/>
        <w:ind w:left="300" w:hanging="300"/>
      </w:pPr>
      <w:r>
        <w:rPr>
          <w:b/>
          <w:bCs/>
          <w:color w:val="8186EF"/>
          <w:sz w:val="16"/>
          <w:szCs w:val="16"/>
        </w:rPr>
        <w:t xml:space="preserve">8  </w:t>
      </w:r>
      <w:r>
        <w:rPr>
          <w:sz w:val="16"/>
          <w:szCs w:val="16"/>
        </w:rPr>
        <w:t xml:space="preserve">Total expense has a current and a deferred part. B is wrong: Cash paid also depends on the timing of payments. C is wrong: That is current tax only.</w:t>
      </w:r>
    </w:p>
    <w:p>
      <w:pPr>
        <w:spacing w:after="18"/>
        <w:ind w:left="300" w:hanging="300"/>
      </w:pPr>
      <w:r>
        <w:rPr>
          <w:b/>
          <w:bCs/>
          <w:color w:val="8186EF"/>
          <w:sz w:val="16"/>
          <w:szCs w:val="16"/>
        </w:rPr>
        <w:t xml:space="preserve">9  </w:t>
      </w:r>
      <w:r>
        <w:rPr>
          <w:sz w:val="16"/>
          <w:szCs w:val="16"/>
        </w:rPr>
        <w:t xml:space="preserve">Increase in DTL of $80,000 less increase in DTA of $20,000. B is wrong: This ignores the DTA. C is wrong: This adds the DTA increase.</w:t>
      </w:r>
    </w:p>
    <w:p>
      <w:pPr>
        <w:spacing w:after="18"/>
        <w:ind w:left="300" w:hanging="300"/>
      </w:pPr>
      <w:r>
        <w:rPr>
          <w:b/>
          <w:bCs/>
          <w:color w:val="8186EF"/>
          <w:sz w:val="16"/>
          <w:szCs w:val="16"/>
        </w:rPr>
        <w:t xml:space="preserve">10  </w:t>
      </w:r>
      <w:r>
        <w:rPr>
          <w:sz w:val="16"/>
          <w:szCs w:val="16"/>
        </w:rPr>
        <w:t xml:space="preserve">The enactment date decides the period. A is wrong: The effective date is not the trigger. C is wrong: The effect is recorded at once, not spread.</w:t>
      </w:r>
    </w:p>
    <w:p>
      <w:pPr>
        <w:spacing w:after="18"/>
        <w:ind w:left="300" w:hanging="300"/>
      </w:pPr>
      <w:r>
        <w:rPr>
          <w:b/>
          <w:bCs/>
          <w:color w:val="8186EF"/>
          <w:sz w:val="16"/>
          <w:szCs w:val="16"/>
        </w:rPr>
        <w:t xml:space="preserve">11  </w:t>
      </w:r>
      <w:r>
        <w:rPr>
          <w:sz w:val="16"/>
          <w:szCs w:val="16"/>
        </w:rPr>
        <w:t xml:space="preserve">Taxes paid = current tax − increase in taxes payable (Chapter 5). A is wrong: Deferred tax is not paid in the current year. C is wrong: The OCI tax effect is noncash.</w:t>
      </w:r>
    </w:p>
    <w:p>
      <w:pPr>
        <w:spacing w:after="18"/>
        <w:ind w:left="300" w:hanging="300"/>
      </w:pPr>
      <w:r>
        <w:rPr>
          <w:b/>
          <w:bCs/>
          <w:color w:val="8186EF"/>
          <w:sz w:val="16"/>
          <w:szCs w:val="16"/>
        </w:rPr>
        <w:t xml:space="preserve">12  </w:t>
      </w:r>
      <w:r>
        <w:rPr>
          <w:sz w:val="16"/>
          <w:szCs w:val="16"/>
        </w:rPr>
        <w:t xml:space="preserve">Total expense has a current and a deferred part. B is wrong: Cash paid also depends on the timing of payments. C is wrong: That is current tax only.</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Intraperiod allocation keeps tax with the item that caused it. B is wrong: The temporary difference has a tax effect. C is wrong: The loss is not in taxable income now.</w:t>
      </w:r>
    </w:p>
    <w:p>
      <w:pPr>
        <w:spacing w:after="18"/>
        <w:ind w:left="300" w:hanging="300"/>
      </w:pPr>
      <w:r>
        <w:rPr>
          <w:b/>
          <w:bCs/>
          <w:color w:val="8186EF"/>
          <w:sz w:val="16"/>
          <w:szCs w:val="16"/>
        </w:rPr>
        <w:t xml:space="preserve">19  </w:t>
      </w:r>
      <w:r>
        <w:rPr>
          <w:sz w:val="16"/>
          <w:szCs w:val="16"/>
        </w:rPr>
        <w:t xml:space="preserve">Permanent differences change taxable income and the expense. B is wrong: This ignores both permanent differences. C is wrong: This subtracts the fine and adds the interest (reversed).</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13.2 · Temporary and permanent differences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temporary difference · tax basis · taxable temporary difference · taxable income · deductible temporary difference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taxable temporary difference · deductible temporary difference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taxable temporary difference · deferred tax liability · deductible temporary difference · permanent difference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deferred tax liability · deferred tax asset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A taxable temporary difference will increase future taxable income; a deductible temporary difference will reduce it.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temporary difference arises when the tax basis of an asset or liability differs from its carrying amount on the balance sheet. A taxable temporary difference will increase future taxable income; a deductible temporary difference will reduce it.”</w:t>
      </w:r>
    </w:p>
    <w:p>
      <w:pPr>
        <w:spacing w:after="18"/>
        <w:ind w:left="300" w:hanging="300"/>
      </w:pPr>
      <w:r>
        <w:rPr>
          <w:b/>
          <w:bCs/>
          <w:color w:val="8186EF"/>
          <w:sz w:val="16"/>
          <w:szCs w:val="16"/>
        </w:rPr>
        <w:t xml:space="preserve">2  </w:t>
      </w:r>
      <w:r>
        <w:rPr>
          <w:sz w:val="16"/>
          <w:szCs w:val="16"/>
        </w:rPr>
        <w:t xml:space="preserve">The book writes: “A taxable temporary difference creates a deferred tax liability: tax that will be paid later. A deductible temporary difference creates a deferred tax asset: tax that will be saved later. Decision chart: permanent difference, deferred tax liability or deferred tax asset?.”</w:t>
      </w:r>
    </w:p>
    <w:p>
      <w:pPr>
        <w:spacing w:after="18"/>
        <w:ind w:left="300" w:hanging="300"/>
      </w:pPr>
      <w:r>
        <w:rPr>
          <w:b/>
          <w:bCs/>
          <w:color w:val="8186EF"/>
          <w:sz w:val="16"/>
          <w:szCs w:val="16"/>
        </w:rPr>
        <w:t xml:space="preserve">3  </w:t>
      </w:r>
      <w:r>
        <w:rPr>
          <w:sz w:val="16"/>
          <w:szCs w:val="16"/>
        </w:rPr>
        <w:t xml:space="preserve">The book writes: “Tax depreciation faster than book: less tax now, more later: deferred tax liability. Warranty accrued now, deductible when paid: more tax now, less later: deferred tax asset. Fines and municipal interest: permanent, no deferred tax.”</w:t>
      </w:r>
    </w:p>
    <w:p>
      <w:pPr>
        <w:spacing w:after="18"/>
        <w:ind w:left="300" w:hanging="300"/>
      </w:pPr>
      <w:r>
        <w:rPr>
          <w:b/>
          <w:bCs/>
          <w:color w:val="8186EF"/>
          <w:sz w:val="16"/>
          <w:szCs w:val="16"/>
        </w:rPr>
        <w:t xml:space="preserve">4  </w:t>
      </w:r>
      <w:r>
        <w:rPr>
          <w:sz w:val="16"/>
          <w:szCs w:val="16"/>
        </w:rPr>
        <w:t xml:space="preserve">The book pairs Tax depreciation faster than book (bonus, MACRS) with “Temporary, taxable”.</w:t>
      </w:r>
    </w:p>
    <w:p>
      <w:pPr>
        <w:spacing w:after="18"/>
        <w:ind w:left="300" w:hanging="300"/>
      </w:pPr>
      <w:r>
        <w:rPr>
          <w:b/>
          <w:bCs/>
          <w:color w:val="8186EF"/>
          <w:sz w:val="16"/>
          <w:szCs w:val="16"/>
        </w:rPr>
        <w:t xml:space="preserve">5  </w:t>
      </w:r>
      <w:r>
        <w:rPr>
          <w:sz w:val="16"/>
          <w:szCs w:val="16"/>
        </w:rPr>
        <w:t xml:space="preserve">The book’s own table gives Temporary, taxable as the type of difference of Tax depreciation faster than book (bonus, MACRS).</w:t>
      </w:r>
    </w:p>
    <w:p>
      <w:pPr>
        <w:spacing w:after="18"/>
        <w:ind w:left="300" w:hanging="300"/>
      </w:pPr>
      <w:r>
        <w:rPr>
          <w:b/>
          <w:bCs/>
          <w:color w:val="8186EF"/>
          <w:sz w:val="16"/>
          <w:szCs w:val="16"/>
        </w:rPr>
        <w:t xml:space="preserve">6  </w:t>
      </w:r>
      <w:r>
        <w:rPr>
          <w:sz w:val="16"/>
          <w:szCs w:val="16"/>
        </w:rPr>
        <w:t xml:space="preserve">The book’s own table gives Temporary, taxable as the type of difference of Installment sale: revenue now, taxed when cash is collected.</w:t>
      </w:r>
    </w:p>
    <w:p>
      <w:pPr>
        <w:spacing w:after="18"/>
        <w:ind w:left="300" w:hanging="300"/>
      </w:pPr>
      <w:r>
        <w:rPr>
          <w:b/>
          <w:bCs/>
          <w:color w:val="8186EF"/>
          <w:sz w:val="16"/>
          <w:szCs w:val="16"/>
        </w:rPr>
        <w:t xml:space="preserve">7  </w:t>
      </w:r>
      <w:r>
        <w:rPr>
          <w:sz w:val="16"/>
          <w:szCs w:val="16"/>
        </w:rPr>
        <w:t xml:space="preserve">The book’s own table gives Temporary, deductible as the type of difference of Warranty or litigation accrual, deductible when paid.</w:t>
      </w:r>
    </w:p>
    <w:p>
      <w:pPr>
        <w:spacing w:after="18"/>
        <w:ind w:left="300" w:hanging="300"/>
      </w:pPr>
      <w:r>
        <w:rPr>
          <w:b/>
          <w:bCs/>
          <w:color w:val="8186EF"/>
          <w:sz w:val="16"/>
          <w:szCs w:val="16"/>
        </w:rPr>
        <w:t xml:space="preserve">8  </w:t>
      </w:r>
      <w:r>
        <w:rPr>
          <w:sz w:val="16"/>
          <w:szCs w:val="16"/>
        </w:rPr>
        <w:t xml:space="preserve">The book’s own table gives Temporary, deductible as the type of difference of Rent received in advance, taxed when received.</w:t>
      </w:r>
    </w:p>
    <w:p>
      <w:pPr>
        <w:spacing w:after="18"/>
        <w:ind w:left="300" w:hanging="300"/>
      </w:pPr>
      <w:r>
        <w:rPr>
          <w:b/>
          <w:bCs/>
          <w:color w:val="8186EF"/>
          <w:sz w:val="16"/>
          <w:szCs w:val="16"/>
        </w:rPr>
        <w:t xml:space="preserve">9  </w:t>
      </w:r>
      <w:r>
        <w:rPr>
          <w:sz w:val="16"/>
          <w:szCs w:val="16"/>
        </w:rPr>
        <w:t xml:space="preserve">The book pairs Tax depreciation faster than book (bonus, MACRS) with “Deferred tax liability”.</w:t>
      </w:r>
    </w:p>
    <w:p>
      <w:pPr>
        <w:spacing w:after="18"/>
        <w:ind w:left="300" w:hanging="300"/>
      </w:pPr>
      <w:r>
        <w:rPr>
          <w:b/>
          <w:bCs/>
          <w:color w:val="8186EF"/>
          <w:sz w:val="16"/>
          <w:szCs w:val="16"/>
        </w:rPr>
        <w:t xml:space="preserve">10  </w:t>
      </w:r>
      <w:r>
        <w:rPr>
          <w:sz w:val="16"/>
          <w:szCs w:val="16"/>
        </w:rPr>
        <w:t xml:space="preserve">The book pairs Installment sale: revenue now, taxed when cash is collected with “Deferred tax liability”, not with “None”.</w:t>
      </w:r>
    </w:p>
    <w:p>
      <w:pPr>
        <w:spacing w:after="18"/>
        <w:ind w:left="300" w:hanging="300"/>
      </w:pPr>
      <w:r>
        <w:rPr>
          <w:b/>
          <w:bCs/>
          <w:color w:val="8186EF"/>
          <w:sz w:val="16"/>
          <w:szCs w:val="16"/>
        </w:rPr>
        <w:t xml:space="preserve">12  </w:t>
      </w:r>
      <w:r>
        <w:rPr>
          <w:sz w:val="16"/>
          <w:szCs w:val="16"/>
        </w:rPr>
        <w:t xml:space="preserve">The book gives Deferred tax liability as the creates of Tax depreciation faster than book (bonus, MACRS).</w:t>
      </w:r>
    </w:p>
    <w:p>
      <w:pPr>
        <w:spacing w:after="18"/>
        <w:ind w:left="300" w:hanging="300"/>
      </w:pPr>
      <w:r>
        <w:rPr>
          <w:b/>
          <w:bCs/>
          <w:color w:val="8186EF"/>
          <w:sz w:val="16"/>
          <w:szCs w:val="16"/>
        </w:rPr>
        <w:t xml:space="preserve">13  </w:t>
      </w:r>
      <w:r>
        <w:rPr>
          <w:sz w:val="16"/>
          <w:szCs w:val="16"/>
        </w:rPr>
        <w:t xml:space="preserve">Step 1 of the uncertain tax position model. B is wrong: Certainty is not required. C is wrong: The U.S. test is 'more likely than not'.</w:t>
      </w:r>
    </w:p>
    <w:p>
      <w:pPr>
        <w:spacing w:after="18"/>
        <w:ind w:left="300" w:hanging="300"/>
      </w:pPr>
      <w:r>
        <w:rPr>
          <w:b/>
          <w:bCs/>
          <w:color w:val="8186EF"/>
          <w:sz w:val="16"/>
          <w:szCs w:val="16"/>
        </w:rPr>
        <w:t xml:space="preserve">14  </w:t>
      </w:r>
      <w:r>
        <w:rPr>
          <w:sz w:val="16"/>
          <w:szCs w:val="16"/>
        </w:rPr>
        <w:t xml:space="preserve">It reverses when the repairs are paid. A is wrong: Fines are never deductible. B is wrong: Municipal interest is never taxable.</w:t>
      </w:r>
    </w:p>
    <w:p>
      <w:pPr>
        <w:spacing w:after="18"/>
        <w:ind w:left="300" w:hanging="300"/>
      </w:pPr>
      <w:r>
        <w:rPr>
          <w:b/>
          <w:bCs/>
          <w:color w:val="8186EF"/>
          <w:sz w:val="16"/>
          <w:szCs w:val="16"/>
        </w:rPr>
        <w:t xml:space="preserve">15  </w:t>
      </w:r>
      <w:r>
        <w:rPr>
          <w:sz w:val="16"/>
          <w:szCs w:val="16"/>
        </w:rPr>
        <w:t xml:space="preserve">Tax is paid now on income recognized later, so future tax will be lower. A is wrong: The direction is reversed. B is wrong: The difference reverses next year.</w:t>
      </w:r>
    </w:p>
    <w:p>
      <w:pPr>
        <w:spacing w:after="18"/>
        <w:ind w:left="300" w:hanging="300"/>
      </w:pPr>
      <w:r>
        <w:rPr>
          <w:b/>
          <w:bCs/>
          <w:color w:val="8186EF"/>
          <w:sz w:val="16"/>
          <w:szCs w:val="16"/>
        </w:rPr>
        <w:t xml:space="preserve">16  </w:t>
      </w:r>
      <w:r>
        <w:rPr>
          <w:sz w:val="16"/>
          <w:szCs w:val="16"/>
        </w:rPr>
        <w:t xml:space="preserve">Tax will be paid later, as cash is collected. A is wrong: Future taxable income will increase, not fall. C is wrong: The income will be taxed eventually.</w:t>
      </w:r>
    </w:p>
    <w:p>
      <w:pPr>
        <w:spacing w:after="18"/>
        <w:ind w:left="300" w:hanging="300"/>
      </w:pPr>
      <w:r>
        <w:rPr>
          <w:b/>
          <w:bCs/>
          <w:color w:val="8186EF"/>
          <w:sz w:val="16"/>
          <w:szCs w:val="16"/>
        </w:rPr>
        <w:t xml:space="preserve">17  </w:t>
      </w:r>
      <w:r>
        <w:rPr>
          <w:sz w:val="16"/>
          <w:szCs w:val="16"/>
        </w:rPr>
        <w:t xml:space="preserve">Step 1 of the uncertain tax position model. B is wrong: Certainty is not required. C is wrong: The U.S. test is 'more likely than not'.</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23  </w:t>
      </w:r>
      <w:r>
        <w:rPr>
          <w:sz w:val="16"/>
          <w:szCs w:val="16"/>
        </w:rPr>
        <w:t xml:space="preserve">The book’s own table gives Permanent difference as the category of Municipal bond interest.</w:t>
      </w:r>
    </w:p>
    <w:p>
      <w:pPr>
        <w:spacing w:after="18"/>
        <w:ind w:left="300" w:hanging="300"/>
      </w:pPr>
      <w:r>
        <w:rPr>
          <w:b/>
          <w:bCs/>
          <w:color w:val="8186EF"/>
          <w:sz w:val="16"/>
          <w:szCs w:val="16"/>
        </w:rPr>
        <w:t xml:space="preserve">24  </w:t>
      </w:r>
      <w:r>
        <w:rPr>
          <w:sz w:val="16"/>
          <w:szCs w:val="16"/>
        </w:rPr>
        <w:t xml:space="preserve">The book’s own table gives Permanent difference as the category of Late-filing fine.</w:t>
      </w:r>
    </w:p>
    <w:p>
      <w:pPr>
        <w:spacing w:after="18"/>
        <w:ind w:left="300" w:hanging="300"/>
      </w:pPr>
      <w:r>
        <w:rPr>
          <w:b/>
          <w:bCs/>
          <w:color w:val="8186EF"/>
          <w:sz w:val="16"/>
          <w:szCs w:val="16"/>
        </w:rPr>
        <w:t xml:space="preserve">25  </w:t>
      </w:r>
      <w:r>
        <w:rPr>
          <w:sz w:val="16"/>
          <w:szCs w:val="16"/>
        </w:rPr>
        <w:t xml:space="preserve">The book’s own table pairs Tax depreciation above book with “Taxable temporary difference (DTL)”.</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13.3 · Measuring current and deferred taxes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taxable income · enacted tax rate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Deferred tax expense · deferred tax liability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taxable income · enacted tax rate · Deferred tax expense · deferred tax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Deferred tax expense · deferred tax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9  </w:t>
            </w:r>
            <w:r>
              <w:rPr>
                <w:b/>
                <w:bCs/>
                <w:color w:val="1F7A6A"/>
                <w:sz w:val="16"/>
                <w:szCs w:val="16"/>
              </w:rPr>
              <w:t xml:space="preserve">what the book says</w:t>
            </w:r>
          </w:p>
          <w:p>
            <w:pPr>
              <w:spacing w:after="34"/>
              <w:ind w:left="300"/>
            </w:pPr>
            <w:r>
              <w:rPr>
                <w:sz w:val="17"/>
                <w:szCs w:val="17"/>
              </w:rPr>
              <w:t xml:space="preserve">Deferred tax expense is the change in the net deferred tax liability during the year.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“Current tax is taxable income times the tax rate. Deferred tax liabilities and assets are the temporary differences times the enacted tax rate that will apply when they reverse.”</w:t>
      </w:r>
    </w:p>
    <w:p>
      <w:pPr>
        <w:spacing w:after="18"/>
        <w:ind w:left="300" w:hanging="300"/>
      </w:pPr>
      <w:r>
        <w:rPr>
          <w:b/>
          <w:bCs/>
          <w:color w:val="8186EF"/>
          <w:sz w:val="16"/>
          <w:szCs w:val="16"/>
        </w:rPr>
        <w:t xml:space="preserve">2  </w:t>
      </w:r>
      <w:r>
        <w:rPr>
          <w:sz w:val="16"/>
          <w:szCs w:val="16"/>
        </w:rPr>
        <w:t xml:space="preserve">The book writes: “Deferred tax expense is the change in the net deferred tax liability during the year. Deferred taxes follow from the same differences.”</w:t>
      </w:r>
    </w:p>
    <w:p>
      <w:pPr>
        <w:spacing w:after="18"/>
        <w:ind w:left="300" w:hanging="300"/>
      </w:pPr>
      <w:r>
        <w:rPr>
          <w:b/>
          <w:bCs/>
          <w:color w:val="8186EF"/>
          <w:sz w:val="16"/>
          <w:szCs w:val="16"/>
        </w:rPr>
        <w:t xml:space="preserve">3  </w:t>
      </w:r>
      <w:r>
        <w:rPr>
          <w:sz w:val="16"/>
          <w:szCs w:val="16"/>
        </w:rPr>
        <w:t xml:space="preserve">The book writes: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357,000 as the amount of Current tax expense.</w:t>
      </w:r>
    </w:p>
    <w:p>
      <w:pPr>
        <w:spacing w:after="18"/>
        <w:ind w:left="300" w:hanging="300"/>
      </w:pPr>
      <w:r>
        <w:rPr>
          <w:b/>
          <w:bCs/>
          <w:color w:val="8186EF"/>
          <w:sz w:val="16"/>
          <w:szCs w:val="16"/>
        </w:rPr>
        <w:t xml:space="preserve">6  </w:t>
      </w:r>
      <w:r>
        <w:rPr>
          <w:sz w:val="16"/>
          <w:szCs w:val="16"/>
        </w:rPr>
        <w:t xml:space="preserve">The book’s own table gives 150,000 as the amount of Deferred tax liability created: 25% × 600,000.</w:t>
      </w:r>
    </w:p>
    <w:p>
      <w:pPr>
        <w:spacing w:after="18"/>
        <w:ind w:left="300" w:hanging="300"/>
      </w:pPr>
      <w:r>
        <w:rPr>
          <w:b/>
          <w:bCs/>
          <w:color w:val="8186EF"/>
          <w:sz w:val="16"/>
          <w:szCs w:val="16"/>
        </w:rPr>
        <w:t xml:space="preserve">7  </w:t>
      </w:r>
      <w:r>
        <w:rPr>
          <w:sz w:val="16"/>
          <w:szCs w:val="16"/>
        </w:rPr>
        <w:t xml:space="preserve">The book’s own table gives (9,500) as the amount of Deferred tax asset created: 25% × 38,000.</w:t>
      </w:r>
    </w:p>
    <w:p>
      <w:pPr>
        <w:spacing w:after="18"/>
        <w:ind w:left="300" w:hanging="300"/>
      </w:pPr>
      <w:r>
        <w:rPr>
          <w:b/>
          <w:bCs/>
          <w:color w:val="8186EF"/>
          <w:sz w:val="16"/>
          <w:szCs w:val="16"/>
        </w:rPr>
        <w:t xml:space="preserve">8  </w:t>
      </w:r>
      <w:r>
        <w:rPr>
          <w:sz w:val="16"/>
          <w:szCs w:val="16"/>
        </w:rPr>
        <w:t xml:space="preserve">The book’s own table gives 140,500 as the amount of Deferred tax expense.</w:t>
      </w:r>
    </w:p>
    <w:p>
      <w:pPr>
        <w:spacing w:after="18"/>
        <w:ind w:left="300" w:hanging="300"/>
      </w:pPr>
      <w:r>
        <w:rPr>
          <w:b/>
          <w:bCs/>
          <w:color w:val="8186EF"/>
          <w:sz w:val="16"/>
          <w:szCs w:val="16"/>
        </w:rPr>
        <w:t xml:space="preserve">10  </w:t>
      </w:r>
      <w:r>
        <w:rPr>
          <w:sz w:val="16"/>
          <w:szCs w:val="16"/>
        </w:rPr>
        <w:t xml:space="preserve">The book gives 24.875% as the % of pretax income of Total income tax expense.</w:t>
      </w:r>
    </w:p>
    <w:p>
      <w:pPr>
        <w:spacing w:after="18"/>
        <w:ind w:left="300" w:hanging="300"/>
      </w:pPr>
      <w:r>
        <w:rPr>
          <w:b/>
          <w:bCs/>
          <w:color w:val="8186EF"/>
          <w:sz w:val="16"/>
          <w:szCs w:val="16"/>
        </w:rPr>
        <w:t xml:space="preserve">11  </w:t>
      </w:r>
      <w:r>
        <w:rPr>
          <w:sz w:val="16"/>
          <w:szCs w:val="16"/>
        </w:rPr>
        <w:t xml:space="preserve">It is never taxable, so it never reverses. A is wrong: Depreciation differences reverse over the asset's life. C is wrong: The warranty becomes deductible when paid.</w:t>
      </w:r>
    </w:p>
    <w:p>
      <w:pPr>
        <w:spacing w:after="18"/>
        <w:ind w:left="300" w:hanging="300"/>
      </w:pPr>
      <w:r>
        <w:rPr>
          <w:b/>
          <w:bCs/>
          <w:color w:val="8186EF"/>
          <w:sz w:val="16"/>
          <w:szCs w:val="16"/>
        </w:rPr>
        <w:t xml:space="preserve">12  </w:t>
      </w:r>
      <w:r>
        <w:rPr>
          <w:sz w:val="16"/>
          <w:szCs w:val="16"/>
        </w:rPr>
        <w:t xml:space="preserve">Less tax now means more tax later. A is wrong: A DTA arises when tax is paid earlier, not later. B is wrong: The difference reverses over the asset's life.</w:t>
      </w:r>
    </w:p>
    <w:p>
      <w:pPr>
        <w:spacing w:after="18"/>
        <w:ind w:left="300" w:hanging="300"/>
      </w:pPr>
      <w:r>
        <w:rPr>
          <w:b/>
          <w:bCs/>
          <w:color w:val="8186EF"/>
          <w:sz w:val="16"/>
          <w:szCs w:val="16"/>
        </w:rPr>
        <w:t xml:space="preserve">13  </w:t>
      </w:r>
      <w:r>
        <w:rPr>
          <w:sz w:val="16"/>
          <w:szCs w:val="16"/>
        </w:rPr>
        <w:t xml:space="preserve">Recent cumulative losses are strong negative evidence. B is wrong: Profits support realization. C is wrong: Reversing DTLs are a source of taxable income.</w:t>
      </w:r>
    </w:p>
    <w:p>
      <w:pPr>
        <w:spacing w:after="18"/>
        <w:ind w:left="300" w:hanging="300"/>
      </w:pPr>
      <w:r>
        <w:rPr>
          <w:b/>
          <w:bCs/>
          <w:color w:val="8186EF"/>
          <w:sz w:val="16"/>
          <w:szCs w:val="16"/>
        </w:rPr>
        <w:t xml:space="preserve">14  </w:t>
      </w:r>
      <w:r>
        <w:rPr>
          <w:sz w:val="16"/>
          <w:szCs w:val="16"/>
        </w:rPr>
        <w:t xml:space="preserve">Post-2017 federal NOLs have no carryback and an 80% limit. A is wrong: Carrybacks were removed for most companies. C is wrong: The 20-year limit applied to older losses.</w:t>
      </w:r>
    </w:p>
    <w:p>
      <w:pPr>
        <w:spacing w:after="18"/>
        <w:ind w:left="300" w:hanging="300"/>
      </w:pPr>
      <w:r>
        <w:rPr>
          <w:b/>
          <w:bCs/>
          <w:color w:val="8186EF"/>
          <w:sz w:val="16"/>
          <w:szCs w:val="16"/>
        </w:rPr>
        <w:t xml:space="preserve">15  </w:t>
      </w:r>
      <w:r>
        <w:rPr>
          <w:sz w:val="16"/>
          <w:szCs w:val="16"/>
        </w:rPr>
        <w:t xml:space="preserve">Offsetting is allowed only within one jurisdiction. A is wrong: Different jurisdictions cannot be netted. B is wrong: Deferred taxes are noncurrent.</w:t>
      </w:r>
    </w:p>
    <w:p>
      <w:pPr>
        <w:spacing w:after="18"/>
        <w:ind w:left="300" w:hanging="300"/>
      </w:pPr>
      <w:r>
        <w:rPr>
          <w:b/>
          <w:bCs/>
          <w:color w:val="8186EF"/>
          <w:sz w:val="16"/>
          <w:szCs w:val="16"/>
        </w:rPr>
        <w:t xml:space="preserve">16  </w:t>
      </w:r>
      <w:r>
        <w:rPr>
          <w:sz w:val="16"/>
          <w:szCs w:val="16"/>
        </w:rPr>
        <w:t xml:space="preserve">Difference of $800,000 × 21%. A is wrong: This is only the 21% rate applied to the old DTL. C is wrong: The enacted rate at reversal must be used.</w:t>
      </w:r>
    </w:p>
    <w:p>
      <w:pPr>
        <w:spacing w:after="18"/>
        <w:ind w:left="300" w:hanging="300"/>
      </w:pPr>
      <w:r>
        <w:rPr>
          <w:b/>
          <w:bCs/>
          <w:color w:val="8186EF"/>
          <w:sz w:val="16"/>
          <w:szCs w:val="16"/>
        </w:rPr>
        <w:t xml:space="preserve">17  </w:t>
      </w:r>
      <w:r>
        <w:rPr>
          <w:sz w:val="16"/>
          <w:szCs w:val="16"/>
        </w:rPr>
        <w:t xml:space="preserve">Deferred taxes match tax expense to the period of the related income. A is wrong: Cash taxes ignore timing differences. B is wrong: The two incomes still differ; deferred taxes account for it.</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19  </w:t>
      </w:r>
      <w:r>
        <w:rPr>
          <w:sz w:val="16"/>
          <w:szCs w:val="16"/>
        </w:rPr>
        <w:t xml:space="preserve">The book’s own table gives 2,000,000 as the amount of Income before income taxes (book).</w:t>
      </w:r>
    </w:p>
    <w:p>
      <w:pPr>
        <w:spacing w:after="18"/>
        <w:ind w:left="300" w:hanging="300"/>
      </w:pPr>
      <w:r>
        <w:rPr>
          <w:b/>
          <w:bCs/>
          <w:color w:val="8186EF"/>
          <w:sz w:val="16"/>
          <w:szCs w:val="16"/>
        </w:rPr>
        <w:t xml:space="preserve">20  </w:t>
      </w:r>
      <w:r>
        <w:rPr>
          <w:sz w:val="16"/>
          <w:szCs w:val="16"/>
        </w:rPr>
        <w:t xml:space="preserve">The book’s own table gives (20,000) as the amount of Less: tax-exempt municipal interest (permanent).</w:t>
      </w:r>
    </w:p>
    <w:p>
      <w:pPr>
        <w:spacing w:after="18"/>
        <w:ind w:left="300" w:hanging="300"/>
      </w:pPr>
      <w:r>
        <w:rPr>
          <w:b/>
          <w:bCs/>
          <w:color w:val="8186EF"/>
          <w:sz w:val="16"/>
          <w:szCs w:val="16"/>
        </w:rPr>
        <w:t xml:space="preserve">21  </w:t>
      </w:r>
      <w:r>
        <w:rPr>
          <w:sz w:val="16"/>
          <w:szCs w:val="16"/>
        </w:rPr>
        <w:t xml:space="preserve">The book’s own table gives 10,000 as the amount of Add: fine, not deductible (permanent).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13.4 · Rate changes, valuation allowances, losses and presentation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deferred tax asset · taxable income · valuation allowance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deferred tax asset · valuation allowance · net operating loss carryforward · taxable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valuation allowance · uncertain tax position</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deferred tax asset · taxable income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A deferred tax asset is useful only if the company will have enough taxable income to use it.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deferred tax asset is useful only if the company will have enough taxable income to use it. If it is more likely than not that some of the asset will not be realized, the company records a valuation allowance.”</w:t>
      </w:r>
    </w:p>
    <w:p>
      <w:pPr>
        <w:spacing w:after="18"/>
        <w:ind w:left="300" w:hanging="300"/>
      </w:pPr>
      <w:r>
        <w:rPr>
          <w:b/>
          <w:bCs/>
          <w:color w:val="8186EF"/>
          <w:sz w:val="16"/>
          <w:szCs w:val="16"/>
        </w:rPr>
        <w:t xml:space="preserve">2  </w:t>
      </w:r>
      <w:r>
        <w:rPr>
          <w:sz w:val="16"/>
          <w:szCs w:val="16"/>
        </w:rPr>
        <w:t xml:space="preserve">The book writes: “Decision chart: does a deferred tax asset need a valuation allowance?. A tax loss creates a net operating loss carryforward, which is a deferred tax asset. They can be carried forward without a time limit, but they can reduce only 80% of taxable income in any year.”</w:t>
      </w:r>
    </w:p>
    <w:p>
      <w:pPr>
        <w:spacing w:after="18"/>
        <w:ind w:left="300" w:hanging="300"/>
      </w:pPr>
      <w:r>
        <w:rPr>
          <w:b/>
          <w:bCs/>
          <w:color w:val="8186EF"/>
          <w:sz w:val="16"/>
          <w:szCs w:val="16"/>
        </w:rPr>
        <w:t xml:space="preserve">3  </w:t>
      </w:r>
      <w:r>
        <w:rPr>
          <w:sz w:val="16"/>
          <w:szCs w:val="16"/>
        </w:rPr>
        <w:t xml:space="preserve">The book writes: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w:t>
      </w:r>
    </w:p>
    <w:p>
      <w:pPr>
        <w:spacing w:after="18"/>
        <w:ind w:left="300" w:hanging="300"/>
      </w:pPr>
      <w:r>
        <w:rPr>
          <w:b/>
          <w:bCs/>
          <w:color w:val="8186EF"/>
          <w:sz w:val="16"/>
          <w:szCs w:val="16"/>
        </w:rPr>
        <w:t xml:space="preserve">4  </w:t>
      </w:r>
      <w:r>
        <w:rPr>
          <w:sz w:val="16"/>
          <w:szCs w:val="16"/>
        </w:rPr>
        <w:t xml:space="preserve">The book pairs Tax-exempt municipal bond interest with “Permanent”.</w:t>
      </w:r>
    </w:p>
    <w:p>
      <w:pPr>
        <w:spacing w:after="18"/>
        <w:ind w:left="300" w:hanging="300"/>
      </w:pPr>
      <w:r>
        <w:rPr>
          <w:b/>
          <w:bCs/>
          <w:color w:val="8186EF"/>
          <w:sz w:val="16"/>
          <w:szCs w:val="16"/>
        </w:rPr>
        <w:t xml:space="preserve">5  </w:t>
      </w:r>
      <w:r>
        <w:rPr>
          <w:sz w:val="16"/>
          <w:szCs w:val="16"/>
        </w:rPr>
        <w:t xml:space="preserve">The book’s own table gives Permanent as the type of Tax-exempt municipal bond interest.</w:t>
      </w:r>
    </w:p>
    <w:p>
      <w:pPr>
        <w:spacing w:after="18"/>
        <w:ind w:left="300" w:hanging="300"/>
      </w:pPr>
      <w:r>
        <w:rPr>
          <w:b/>
          <w:bCs/>
          <w:color w:val="8186EF"/>
          <w:sz w:val="16"/>
          <w:szCs w:val="16"/>
        </w:rPr>
        <w:t xml:space="preserve">6  </w:t>
      </w:r>
      <w:r>
        <w:rPr>
          <w:sz w:val="16"/>
          <w:szCs w:val="16"/>
        </w:rPr>
        <w:t xml:space="preserve">The book’s own table gives Temporary, taxable as the type of Tax depreciation faster than book depreciation.</w:t>
      </w:r>
    </w:p>
    <w:p>
      <w:pPr>
        <w:spacing w:after="18"/>
        <w:ind w:left="300" w:hanging="300"/>
      </w:pPr>
      <w:r>
        <w:rPr>
          <w:b/>
          <w:bCs/>
          <w:color w:val="8186EF"/>
          <w:sz w:val="16"/>
          <w:szCs w:val="16"/>
        </w:rPr>
        <w:t xml:space="preserve">7  </w:t>
      </w:r>
      <w:r>
        <w:rPr>
          <w:sz w:val="16"/>
          <w:szCs w:val="16"/>
        </w:rPr>
        <w:t xml:space="preserve">The book’s own table gives ________ as the type of Warranty expense accrued now, deducted for tax when repairs are paid.</w:t>
      </w:r>
    </w:p>
    <w:p>
      <w:pPr>
        <w:spacing w:after="18"/>
        <w:ind w:left="300" w:hanging="300"/>
      </w:pPr>
      <w:r>
        <w:rPr>
          <w:b/>
          <w:bCs/>
          <w:color w:val="8186EF"/>
          <w:sz w:val="16"/>
          <w:szCs w:val="16"/>
        </w:rPr>
        <w:t xml:space="preserve">8  </w:t>
      </w:r>
      <w:r>
        <w:rPr>
          <w:sz w:val="16"/>
          <w:szCs w:val="16"/>
        </w:rPr>
        <w:t xml:space="preserve">The book’s own table gives ________ as the type of Fine for breaking an environmental law.</w:t>
      </w:r>
    </w:p>
    <w:p>
      <w:pPr>
        <w:spacing w:after="18"/>
        <w:ind w:left="300" w:hanging="300"/>
      </w:pPr>
      <w:r>
        <w:rPr>
          <w:b/>
          <w:bCs/>
          <w:color w:val="8186EF"/>
          <w:sz w:val="16"/>
          <w:szCs w:val="16"/>
        </w:rPr>
        <w:t xml:space="preserve">9  </w:t>
      </w:r>
      <w:r>
        <w:rPr>
          <w:sz w:val="16"/>
          <w:szCs w:val="16"/>
        </w:rPr>
        <w:t xml:space="preserve">The book pairs Tax-exempt municipal bond interest with “None”.</w:t>
      </w:r>
    </w:p>
    <w:p>
      <w:pPr>
        <w:spacing w:after="18"/>
        <w:ind w:left="300" w:hanging="300"/>
      </w:pPr>
      <w:r>
        <w:rPr>
          <w:b/>
          <w:bCs/>
          <w:color w:val="8186EF"/>
          <w:sz w:val="16"/>
          <w:szCs w:val="16"/>
        </w:rPr>
        <w:t xml:space="preserve">10  </w:t>
      </w:r>
      <w:r>
        <w:rPr>
          <w:sz w:val="16"/>
          <w:szCs w:val="16"/>
        </w:rPr>
        <w:t xml:space="preserve">The book pairs Tax depreciation faster than book depreciation with “DTL”, not with “________”.</w:t>
      </w:r>
    </w:p>
    <w:p>
      <w:pPr>
        <w:spacing w:after="18"/>
        <w:ind w:left="300" w:hanging="300"/>
      </w:pPr>
      <w:r>
        <w:rPr>
          <w:b/>
          <w:bCs/>
          <w:color w:val="8186EF"/>
          <w:sz w:val="16"/>
          <w:szCs w:val="16"/>
        </w:rPr>
        <w:t xml:space="preserve">12  </w:t>
      </w:r>
      <w:r>
        <w:rPr>
          <w:sz w:val="16"/>
          <w:szCs w:val="16"/>
        </w:rPr>
        <w:t xml:space="preserve">The book gives None as the creates of Tax-exempt municipal bond interest.</w:t>
      </w:r>
    </w:p>
    <w:p>
      <w:pPr>
        <w:spacing w:after="18"/>
        <w:ind w:left="300" w:hanging="300"/>
      </w:pPr>
      <w:r>
        <w:rPr>
          <w:b/>
          <w:bCs/>
          <w:color w:val="8186EF"/>
          <w:sz w:val="16"/>
          <w:szCs w:val="16"/>
        </w:rPr>
        <w:t xml:space="preserve">13  </w:t>
      </w:r>
      <w:r>
        <w:rPr>
          <w:sz w:val="16"/>
          <w:szCs w:val="16"/>
        </w:rPr>
        <w:t xml:space="preserve">The 5% threshold applies to the statutory-rate tax. A is wrong: The threshold is not based on revenue. C is wrong: The threshold is 5% of the statutory tax.</w:t>
      </w:r>
    </w:p>
    <w:p>
      <w:pPr>
        <w:spacing w:after="18"/>
        <w:ind w:left="300" w:hanging="300"/>
      </w:pPr>
      <w:r>
        <w:rPr>
          <w:b/>
          <w:bCs/>
          <w:color w:val="8186EF"/>
          <w:sz w:val="16"/>
          <w:szCs w:val="16"/>
        </w:rPr>
        <w:t xml:space="preserve">14  </w:t>
      </w:r>
      <w:r>
        <w:rPr>
          <w:sz w:val="16"/>
          <w:szCs w:val="16"/>
        </w:rPr>
        <w:t xml:space="preserve">Depreciation creates a DTL; the litigation accrual creates a DTA. B is wrong: Both are permanent differences. C is wrong: Both are deductible differences.</w:t>
      </w:r>
    </w:p>
    <w:p>
      <w:pPr>
        <w:spacing w:after="18"/>
        <w:ind w:left="300" w:hanging="300"/>
      </w:pPr>
      <w:r>
        <w:rPr>
          <w:b/>
          <w:bCs/>
          <w:color w:val="8186EF"/>
          <w:sz w:val="16"/>
          <w:szCs w:val="16"/>
        </w:rPr>
        <w:t xml:space="preserve">15  </w:t>
      </w:r>
      <w:r>
        <w:rPr>
          <w:sz w:val="16"/>
          <w:szCs w:val="16"/>
        </w:rPr>
        <w:t xml:space="preserve">The 5% threshold applies to the statutory-rate tax. A is wrong: The threshold is not based on revenue. C is wrong: The threshold is 5% of the statutory tax.</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book’s own table gives Temporary, deductible: DTA as the answer of Warranty expense accrued now.</w:t>
      </w:r>
    </w:p>
    <w:p>
      <w:pPr>
        <w:spacing w:after="18"/>
        <w:ind w:left="300" w:hanging="300"/>
      </w:pPr>
      <w:r>
        <w:rPr>
          <w:b/>
          <w:bCs/>
          <w:color w:val="8186EF"/>
          <w:sz w:val="16"/>
          <w:szCs w:val="16"/>
        </w:rPr>
        <w:t xml:space="preserve">18  </w:t>
      </w:r>
      <w:r>
        <w:rPr>
          <w:sz w:val="16"/>
          <w:szCs w:val="16"/>
        </w:rPr>
        <w:t xml:space="preserve">The book’s own table gives Permanent: no deferred tax as the answer of Fine for breaking the law.</w:t>
      </w:r>
    </w:p>
    <w:p>
      <w:pPr>
        <w:spacing w:after="18"/>
        <w:ind w:left="300" w:hanging="300"/>
      </w:pPr>
      <w:r>
        <w:rPr>
          <w:b/>
          <w:bCs/>
          <w:color w:val="8186EF"/>
          <w:sz w:val="16"/>
          <w:szCs w:val="16"/>
        </w:rPr>
        <w:t xml:space="preserve">19  </w:t>
      </w:r>
      <w:r>
        <w:rPr>
          <w:sz w:val="16"/>
          <w:szCs w:val="16"/>
        </w:rPr>
        <w:t xml:space="preserve">The book’s own table gives Temporary, deductible (taxed now, earned later): DTA as the answer of Rent received in advance.</w:t>
      </w:r>
    </w:p>
    <w:p>
      <w:pPr>
        <w:spacing w:after="18"/>
        <w:ind w:left="300" w:hanging="300"/>
      </w:pPr>
      <w:r>
        <w:rPr>
          <w:b/>
          <w:bCs/>
          <w:color w:val="8186EF"/>
          <w:sz w:val="16"/>
          <w:szCs w:val="16"/>
        </w:rPr>
        <w:t xml:space="preserve">20  </w:t>
      </w:r>
      <w:r>
        <w:rPr>
          <w:sz w:val="16"/>
          <w:szCs w:val="16"/>
        </w:rPr>
        <w:t xml:space="preserve">The exam marks the term, so the English word is the answer.</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13.5 · IFRS differences and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deferred tax asset · valuation allowance</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deferred tax asset · valuation allowance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provision · contra-asset · government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IAS 12 uses the same balance sheet approach, but Figure F13-10 shows important differences. The biggest one for the exam is the deferred tax asset: IFRS recognizes only the amount it is probable to use, while U.S. GAAP records the full asset and a separate valuation allowance.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biggest one for the exam is the deferred tax asset: IFRS recognizes only the amount it is probable to use, while U.S. GAAP records the full asset and a separate valuation allowance.”</w:t>
      </w:r>
    </w:p>
    <w:p>
      <w:pPr>
        <w:spacing w:after="18"/>
        <w:ind w:left="300" w:hanging="300"/>
      </w:pPr>
      <w:r>
        <w:rPr>
          <w:b/>
          <w:bCs/>
          <w:color w:val="8186EF"/>
          <w:sz w:val="16"/>
          <w:szCs w:val="16"/>
        </w:rPr>
        <w:t xml:space="preserve">2  </w:t>
      </w:r>
      <w:r>
        <w:rPr>
          <w:sz w:val="16"/>
          <w:szCs w:val="16"/>
        </w:rPr>
        <w:t xml:space="preserve">The book writes: “The biggest one for the exam is the deferred tax asset: IFRS recognizes only the amount it is probable to use, while U.S. GAAP records the full asset and a separate valuation allowance. They show a rate reconciliation in dollars and percentages with eight standard categories, and they list separately any item of at least 5% of pretax income times the statutory rate.”</w:t>
      </w:r>
    </w:p>
    <w:p>
      <w:pPr>
        <w:spacing w:after="18"/>
        <w:ind w:left="300" w:hanging="300"/>
      </w:pPr>
      <w:r>
        <w:rPr>
          <w:b/>
          <w:bCs/>
          <w:color w:val="8186EF"/>
          <w:sz w:val="16"/>
          <w:szCs w:val="16"/>
        </w:rPr>
        <w:t xml:space="preserve">3  </w:t>
      </w:r>
      <w:r>
        <w:rPr>
          <w:sz w:val="16"/>
          <w:szCs w:val="16"/>
        </w:rPr>
        <w:t xml:space="preserve">The book writes: “It is an expense, not an IAS 37 provision (مخصص) and not a reserve. Arabic مخصص التقييم, the valuation allowance, is a contra-asset, not a liability. SC13-9 A tax rate cut has been announced by the government but not yet signed into law.”</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“Why book income and taxable income differ” as section 13.1.</w:t>
      </w:r>
    </w:p>
    <w:p>
      <w:pPr>
        <w:spacing w:after="18"/>
        <w:ind w:left="300" w:hanging="300"/>
      </w:pPr>
      <w:r>
        <w:rPr>
          <w:b/>
          <w:bCs/>
          <w:color w:val="8186EF"/>
          <w:sz w:val="16"/>
          <w:szCs w:val="16"/>
        </w:rPr>
        <w:t xml:space="preserve">6  </w:t>
      </w:r>
      <w:r>
        <w:rPr>
          <w:sz w:val="16"/>
          <w:szCs w:val="16"/>
        </w:rPr>
        <w:t xml:space="preserve">The book numbers “Temporary and permanent differences” as section 13.2.</w:t>
      </w:r>
    </w:p>
    <w:p>
      <w:pPr>
        <w:spacing w:after="18"/>
        <w:ind w:left="300" w:hanging="300"/>
      </w:pPr>
      <w:r>
        <w:rPr>
          <w:b/>
          <w:bCs/>
          <w:color w:val="8186EF"/>
          <w:sz w:val="16"/>
          <w:szCs w:val="16"/>
        </w:rPr>
        <w:t xml:space="preserve">7  </w:t>
      </w:r>
      <w:r>
        <w:rPr>
          <w:sz w:val="16"/>
          <w:szCs w:val="16"/>
        </w:rPr>
        <w:t xml:space="preserve">The book numbers “Measuring current and deferred taxes” as section 13.3.</w:t>
      </w:r>
    </w:p>
    <w:p>
      <w:pPr>
        <w:spacing w:after="18"/>
        <w:ind w:left="300" w:hanging="300"/>
      </w:pPr>
      <w:r>
        <w:rPr>
          <w:b/>
          <w:bCs/>
          <w:color w:val="8186EF"/>
          <w:sz w:val="16"/>
          <w:szCs w:val="16"/>
        </w:rPr>
        <w:t xml:space="preserve">8  </w:t>
      </w:r>
      <w:r>
        <w:rPr>
          <w:sz w:val="16"/>
          <w:szCs w:val="16"/>
        </w:rPr>
        <w:t xml:space="preserve">The book numbers “Rate changes, valuation allowances, losses and presentation” as section 13.4.</w:t>
      </w:r>
    </w:p>
    <w:p>
      <w:pPr>
        <w:spacing w:after="18"/>
        <w:ind w:left="300" w:hanging="300"/>
      </w:pPr>
      <w:r>
        <w:rPr>
          <w:b/>
          <w:bCs/>
          <w:color w:val="8186EF"/>
          <w:sz w:val="16"/>
          <w:szCs w:val="16"/>
        </w:rPr>
        <w:t xml:space="preserve">9  </w:t>
      </w:r>
      <w:r>
        <w:rPr>
          <w:sz w:val="16"/>
          <w:szCs w:val="16"/>
        </w:rPr>
        <w:t xml:space="preserve">Compare your sentence with the book’s wording in the key.</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pairs Recognizing deferred tax assets with “Record the full DTA, then a valuation allowance if realization is not more likely than not”.</w:t>
      </w:r>
    </w:p>
    <w:p>
      <w:pPr>
        <w:spacing w:after="18"/>
        <w:ind w:left="300" w:hanging="300"/>
      </w:pPr>
      <w:r>
        <w:rPr>
          <w:b/>
          <w:bCs/>
          <w:color w:val="8186EF"/>
          <w:sz w:val="16"/>
          <w:szCs w:val="16"/>
        </w:rPr>
        <w:t xml:space="preserve">13  </w:t>
      </w:r>
      <w:r>
        <w:rPr>
          <w:sz w:val="16"/>
          <w:szCs w:val="16"/>
        </w:rPr>
        <w:t xml:space="preserve">The book’s own table pairs Tax rate with “Enacted rates only”.</w:t>
      </w:r>
    </w:p>
    <w:p>
      <w:pPr>
        <w:spacing w:after="18"/>
        <w:ind w:left="300" w:hanging="300"/>
      </w:pPr>
      <w:r>
        <w:rPr>
          <w:b/>
          <w:bCs/>
          <w:color w:val="8186EF"/>
          <w:sz w:val="16"/>
          <w:szCs w:val="16"/>
        </w:rPr>
        <w:t xml:space="preserve">14  </w:t>
      </w:r>
      <w:r>
        <w:rPr>
          <w:sz w:val="16"/>
          <w:szCs w:val="16"/>
        </w:rPr>
        <w:t xml:space="preserve">The book’s own table pairs Initial recognition exemption with “None in general”.</w:t>
      </w:r>
    </w:p>
    <w:p>
      <w:pPr>
        <w:spacing w:after="18"/>
        <w:ind w:left="300" w:hanging="300"/>
      </w:pPr>
      <w:r>
        <w:rPr>
          <w:b/>
          <w:bCs/>
          <w:color w:val="8186EF"/>
          <w:sz w:val="16"/>
          <w:szCs w:val="16"/>
        </w:rPr>
        <w:t xml:space="preserve">15  </w:t>
      </w:r>
      <w:r>
        <w:rPr>
          <w:sz w:val="16"/>
          <w:szCs w:val="16"/>
        </w:rPr>
        <w:t xml:space="preserve">The exam marks the term, so the English word is the answer.</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temporary difference · tax basis · taxable temporary difference · taxable income · deductible temporary difference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taxable income · enacted tax rate · Deferred tax expense · deferred tax liability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uncertain tax position · deferred tax asset · valuation allowance</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13.1: Why book income and taxable income differ. 13.2: Temporary and permanent differences. 13.3: Measuring current and deferred taxes. 13.4: Rate changes, valuation allowances, losses and presentation. 13.5: IFRS differences and disclosures.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temporary difference arises when the tax basis of an asset or liability differs from its carrying amount on the balance sheet. A taxable temporary difference will increase future taxable income; a deductible temporary difference will reduce it.”</w:t>
      </w:r>
    </w:p>
    <w:p>
      <w:pPr>
        <w:spacing w:after="18"/>
        <w:ind w:left="300" w:hanging="300"/>
      </w:pPr>
      <w:r>
        <w:rPr>
          <w:b/>
          <w:bCs/>
          <w:color w:val="8186EF"/>
          <w:sz w:val="16"/>
          <w:szCs w:val="16"/>
        </w:rPr>
        <w:t xml:space="preserve">2  </w:t>
      </w:r>
      <w:r>
        <w:rPr>
          <w:sz w:val="16"/>
          <w:szCs w:val="16"/>
        </w:rPr>
        <w:t xml:space="preserve">The book writes: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after="18"/>
        <w:ind w:left="300" w:hanging="300"/>
      </w:pPr>
      <w:r>
        <w:rPr>
          <w:b/>
          <w:bCs/>
          <w:color w:val="8186EF"/>
          <w:sz w:val="16"/>
          <w:szCs w:val="16"/>
        </w:rPr>
        <w:t xml:space="preserve">3  </w:t>
      </w:r>
      <w:r>
        <w:rPr>
          <w:sz w:val="16"/>
          <w:szCs w:val="16"/>
        </w:rPr>
        <w:t xml:space="preserve">The book writes: “An uncertain tax position is recognized only if it is more likely than not to be accepted by the tax authority. The global minimum tax (Pillar Two) is treated as a current cost in the year it arises, with no deferred taxes. The biggest one for the exam is the deferred tax asset: IFRS recognizes only the amount it is probable to use, while U.S. GAAP records the full asset and a separate valuation allowance.”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“Why book income and taxable income differ” as section 13.1.</w:t>
      </w:r>
    </w:p>
    <w:p>
      <w:pPr>
        <w:spacing w:after="18"/>
        <w:ind w:left="300" w:hanging="300"/>
      </w:pPr>
      <w:r>
        <w:rPr>
          <w:b/>
          <w:bCs/>
          <w:color w:val="8186EF"/>
          <w:sz w:val="16"/>
          <w:szCs w:val="16"/>
        </w:rPr>
        <w:t xml:space="preserve">6  </w:t>
      </w:r>
      <w:r>
        <w:rPr>
          <w:sz w:val="16"/>
          <w:szCs w:val="16"/>
        </w:rPr>
        <w:t xml:space="preserve">The book numbers “Temporary and permanent differences” as section 13.2.</w:t>
      </w:r>
    </w:p>
    <w:p>
      <w:pPr>
        <w:spacing w:after="18"/>
        <w:ind w:left="300" w:hanging="300"/>
      </w:pPr>
      <w:r>
        <w:rPr>
          <w:b/>
          <w:bCs/>
          <w:color w:val="8186EF"/>
          <w:sz w:val="16"/>
          <w:szCs w:val="16"/>
        </w:rPr>
        <w:t xml:space="preserve">7  </w:t>
      </w:r>
      <w:r>
        <w:rPr>
          <w:sz w:val="16"/>
          <w:szCs w:val="16"/>
        </w:rPr>
        <w:t xml:space="preserve">The book numbers “Measuring current and deferred taxes” as section 13.3.</w:t>
      </w:r>
    </w:p>
    <w:p>
      <w:pPr>
        <w:spacing w:after="18"/>
        <w:ind w:left="300" w:hanging="300"/>
      </w:pPr>
      <w:r>
        <w:rPr>
          <w:b/>
          <w:bCs/>
          <w:color w:val="8186EF"/>
          <w:sz w:val="16"/>
          <w:szCs w:val="16"/>
        </w:rPr>
        <w:t xml:space="preserve">13  </w:t>
      </w:r>
      <w:r>
        <w:rPr>
          <w:sz w:val="16"/>
          <w:szCs w:val="16"/>
        </w:rPr>
        <w:t xml:space="preserve">Pretax income adjusted for the permanent and temporary differences. A is wrong: This is the current tax, not taxable income. C is wrong: This ignores the temporary differences.</w:t>
      </w:r>
    </w:p>
    <w:p>
      <w:pPr>
        <w:spacing w:after="18"/>
        <w:ind w:left="300" w:hanging="300"/>
      </w:pPr>
      <w:r>
        <w:rPr>
          <w:b/>
          <w:bCs/>
          <w:color w:val="8186EF"/>
          <w:sz w:val="16"/>
          <w:szCs w:val="16"/>
        </w:rPr>
        <w:t xml:space="preserve">14  </w:t>
      </w:r>
      <w:r>
        <w:rPr>
          <w:sz w:val="16"/>
          <w:szCs w:val="16"/>
        </w:rPr>
        <w:t xml:space="preserve">Current tax $357,000 + deferred tax $140,500. A is wrong: This adds the DTA instead of subtracting it. B is wrong: This leaves out deferred tax.</w:t>
      </w:r>
    </w:p>
    <w:p>
      <w:pPr>
        <w:spacing w:after="18"/>
        <w:ind w:left="300" w:hanging="300"/>
      </w:pPr>
      <w:r>
        <w:rPr>
          <w:b/>
          <w:bCs/>
          <w:color w:val="8186EF"/>
          <w:sz w:val="16"/>
          <w:szCs w:val="16"/>
        </w:rPr>
        <w:t xml:space="preserve">15  </w:t>
      </w:r>
      <w:r>
        <w:rPr>
          <w:sz w:val="16"/>
          <w:szCs w:val="16"/>
        </w:rPr>
        <w:t xml:space="preserve">U.S. GAAP records the full DTA and a separate allowance. A is wrong: This is the IFRS net approach. B is wrong: An allowance is needed for the part not expected to be realized.</w:t>
      </w:r>
    </w:p>
    <w:p>
      <w:pPr>
        <w:spacing w:after="18"/>
        <w:ind w:left="300" w:hanging="300"/>
      </w:pPr>
      <w:r>
        <w:rPr>
          <w:b/>
          <w:bCs/>
          <w:color w:val="8186EF"/>
          <w:sz w:val="16"/>
          <w:szCs w:val="16"/>
        </w:rPr>
        <w:t xml:space="preserve">16  </w:t>
      </w:r>
      <w:r>
        <w:rPr>
          <w:sz w:val="16"/>
          <w:szCs w:val="16"/>
        </w:rPr>
        <w:t xml:space="preserve">U.S. GAAP uses enacted rates only. A is wrong: Substantively enacted is an IFRS concept. B is wrong: There is no averaging.</w:t>
      </w:r>
    </w:p>
    <w:p>
      <w:pPr>
        <w:spacing w:after="18"/>
        <w:ind w:left="300" w:hanging="300"/>
      </w:pPr>
      <w:r>
        <w:rPr>
          <w:b/>
          <w:bCs/>
          <w:color w:val="8186EF"/>
          <w:sz w:val="16"/>
          <w:szCs w:val="16"/>
        </w:rPr>
        <w:t xml:space="preserve">17  </w:t>
      </w:r>
      <w:r>
        <w:rPr>
          <w:sz w:val="16"/>
          <w:szCs w:val="16"/>
        </w:rPr>
        <w:t xml:space="preserve">Pretax income adjusted for the permanent and temporary differences. A is wrong: This is the current tax, not taxable income. C is wrong: This ignores the temporary differences.</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19  </w:t>
      </w:r>
      <w:r>
        <w:rPr>
          <w:sz w:val="16"/>
          <w:szCs w:val="16"/>
        </w:rPr>
        <w:t xml:space="preserve">The book states item C13-1 in those words.</w:t>
      </w:r>
    </w:p>
    <w:p>
      <w:pPr>
        <w:spacing w:after="18"/>
        <w:ind w:left="300" w:hanging="300"/>
      </w:pPr>
      <w:r>
        <w:rPr>
          <w:b/>
          <w:bCs/>
          <w:color w:val="8186EF"/>
          <w:sz w:val="16"/>
          <w:szCs w:val="16"/>
        </w:rPr>
        <w:t xml:space="preserve">20  </w:t>
      </w:r>
      <w:r>
        <w:rPr>
          <w:sz w:val="16"/>
          <w:szCs w:val="16"/>
        </w:rPr>
        <w:t xml:space="preserve">The book states item C13-2 in those words.</w:t>
      </w:r>
    </w:p>
    <w:p>
      <w:pPr>
        <w:spacing w:after="18"/>
        <w:ind w:left="300" w:hanging="300"/>
      </w:pPr>
      <w:r>
        <w:rPr>
          <w:b/>
          <w:bCs/>
          <w:color w:val="8186EF"/>
          <w:sz w:val="16"/>
          <w:szCs w:val="16"/>
        </w:rPr>
        <w:t xml:space="preserve">21  </w:t>
      </w:r>
      <w:r>
        <w:rPr>
          <w:sz w:val="16"/>
          <w:szCs w:val="16"/>
        </w:rPr>
        <w:t xml:space="preserve">The book states item C13-3 in those words.</w:t>
      </w:r>
    </w:p>
    <w:p>
      <w:pPr>
        <w:spacing w:after="18"/>
        <w:ind w:left="300" w:hanging="300"/>
      </w:pPr>
      <w:r>
        <w:rPr>
          <w:b/>
          <w:bCs/>
          <w:color w:val="8186EF"/>
          <w:sz w:val="16"/>
          <w:szCs w:val="16"/>
        </w:rPr>
        <w:t xml:space="preserve">22  </w:t>
      </w:r>
      <w:r>
        <w:rPr>
          <w:sz w:val="16"/>
          <w:szCs w:val="16"/>
        </w:rPr>
        <w:t xml:space="preserve">The book states item C13-4 in those words.</w:t>
      </w:r>
    </w:p>
    <w:p>
      <w:pPr>
        <w:spacing w:after="18"/>
        <w:ind w:left="300" w:hanging="300"/>
      </w:pPr>
      <w:r>
        <w:rPr>
          <w:b/>
          <w:bCs/>
          <w:color w:val="8186EF"/>
          <w:sz w:val="16"/>
          <w:szCs w:val="16"/>
        </w:rPr>
        <w:t xml:space="preserve">23  </w:t>
      </w:r>
      <w:r>
        <w:rPr>
          <w:sz w:val="16"/>
          <w:szCs w:val="16"/>
        </w:rPr>
        <w:t xml:space="preserve">The book states item C13-5 in those words.</w:t>
      </w:r>
    </w:p>
    <w:p>
      <w:pPr>
        <w:spacing w:after="18"/>
        <w:ind w:left="300" w:hanging="300"/>
      </w:pPr>
      <w:r>
        <w:rPr>
          <w:b/>
          <w:bCs/>
          <w:color w:val="8186EF"/>
          <w:sz w:val="16"/>
          <w:szCs w:val="16"/>
        </w:rPr>
        <w:t xml:space="preserve">24  </w:t>
      </w:r>
      <w:r>
        <w:rPr>
          <w:sz w:val="16"/>
          <w:szCs w:val="16"/>
        </w:rPr>
        <w:t xml:space="preserve">The book states item C13-6 in those words.</w:t>
      </w:r>
    </w:p>
    <w:p>
      <w:pPr>
        <w:spacing w:after="18"/>
        <w:ind w:left="300" w:hanging="300"/>
      </w:pPr>
      <w:r>
        <w:rPr>
          <w:b/>
          <w:bCs/>
          <w:color w:val="8186EF"/>
          <w:sz w:val="16"/>
          <w:szCs w:val="16"/>
        </w:rPr>
        <w:t xml:space="preserve">25  </w:t>
      </w:r>
      <w:r>
        <w:rPr>
          <w:sz w:val="16"/>
          <w:szCs w:val="16"/>
        </w:rPr>
        <w:t xml:space="preserve">Pretax income adjusted for the permanent and temporary differences. A is wrong: This is the current tax, not taxable income. C is wrong: This ignores the temporary differences.</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13 — answer keys</dc:title>
  <dc:subject>Income Taxes</dc:subject>
  <cp:category>Student Book</cp:category>
</cp:coreProperties>
</file>