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15.1 · Gains and losses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Gain: Gain on sale of equipment (the Dubai oven, Chapter 10), Unrealized gains on securities (Chapter 9)</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gain · loss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Loss: Loss on sale of receivables (factoring, Chapter 6), Impairment losses (Chapter 10), Unrealized loss on AFS debt securities, net of tax</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multi-step · impairments · infrequent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gain or loss is an increase or decrease in equity from a peripheral or incidental transaction: something other than the company's main activities and other than a transaction with owners.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w:t>
      </w:r>
    </w:p>
    <w:p>
      <w:pPr>
        <w:spacing w:after="18"/>
        <w:ind w:left="300" w:hanging="300"/>
      </w:pPr>
      <w:r>
        <w:rPr>
          <w:b/>
          <w:bCs/>
          <w:color w:val="8186EF"/>
          <w:sz w:val="16"/>
          <w:szCs w:val="16"/>
        </w:rPr>
        <w:t xml:space="preserve">2  </w:t>
      </w:r>
      <w:r>
        <w:rPr>
          <w:sz w:val="16"/>
          <w:szCs w:val="16"/>
        </w:rPr>
        <w:t xml:space="preserve">The book writes: “A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 In a multi-step statement, most gains and losses appear in other income and expense, below operating income.”</w:t>
      </w:r>
    </w:p>
    <w:p>
      <w:pPr>
        <w:spacing w:after="18"/>
        <w:ind w:left="300" w:hanging="300"/>
      </w:pPr>
      <w:r>
        <w:rPr>
          <w:b/>
          <w:bCs/>
          <w:color w:val="8186EF"/>
          <w:sz w:val="16"/>
          <w:szCs w:val="16"/>
        </w:rPr>
        <w:t xml:space="preserve">3  </w:t>
      </w:r>
      <w:r>
        <w:rPr>
          <w:sz w:val="16"/>
          <w:szCs w:val="16"/>
        </w:rPr>
        <w:t xml:space="preserve">The book writes: “In a multi-step statement, most gains and losses appear in other income and expense, below operating income. Losses that arise from operating assets, such as impairments, are usually shown within operating expenses. Items that are unusual or infrequent get a separate line within continuing operations, before tax.”</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Other income and (expense) as the where it appears of Gain on sale of equipment (the Dubai oven, Chapter 10).</w:t>
      </w:r>
    </w:p>
    <w:p>
      <w:pPr>
        <w:spacing w:after="18"/>
        <w:ind w:left="300" w:hanging="300"/>
      </w:pPr>
      <w:r>
        <w:rPr>
          <w:b/>
          <w:bCs/>
          <w:color w:val="8186EF"/>
          <w:sz w:val="16"/>
          <w:szCs w:val="16"/>
        </w:rPr>
        <w:t xml:space="preserve">6  </w:t>
      </w:r>
      <w:r>
        <w:rPr>
          <w:sz w:val="16"/>
          <w:szCs w:val="16"/>
        </w:rPr>
        <w:t xml:space="preserve">The book’s own table gives Other income and (expense) as the where it appears of Loss on sale of receivables (factoring, Chapter 6).</w:t>
      </w:r>
    </w:p>
    <w:p>
      <w:pPr>
        <w:spacing w:after="18"/>
        <w:ind w:left="300" w:hanging="300"/>
      </w:pPr>
      <w:r>
        <w:rPr>
          <w:b/>
          <w:bCs/>
          <w:color w:val="8186EF"/>
          <w:sz w:val="16"/>
          <w:szCs w:val="16"/>
        </w:rPr>
        <w:t xml:space="preserve">7  </w:t>
      </w:r>
      <w:r>
        <w:rPr>
          <w:sz w:val="16"/>
          <w:szCs w:val="16"/>
        </w:rPr>
        <w:t xml:space="preserve">The book’s own table gives Other income and (expense) as the where it appears of Unrealized gains on securities (Chapter 9).</w:t>
      </w:r>
    </w:p>
    <w:p>
      <w:pPr>
        <w:spacing w:after="18"/>
        <w:ind w:left="300" w:hanging="300"/>
      </w:pPr>
      <w:r>
        <w:rPr>
          <w:b/>
          <w:bCs/>
          <w:color w:val="8186EF"/>
          <w:sz w:val="16"/>
          <w:szCs w:val="16"/>
        </w:rPr>
        <w:t xml:space="preserve">8  </w:t>
      </w:r>
      <w:r>
        <w:rPr>
          <w:sz w:val="16"/>
          <w:szCs w:val="16"/>
        </w:rPr>
        <w:t xml:space="preserve">The book’s own table gives Operating expenses as the where it appears of Impairment losses (Chapter 10).</w:t>
      </w:r>
    </w:p>
    <w:p>
      <w:pPr>
        <w:spacing w:after="18"/>
        <w:ind w:left="300" w:hanging="300"/>
      </w:pPr>
      <w:r>
        <w:rPr>
          <w:b/>
          <w:bCs/>
          <w:color w:val="8186EF"/>
          <w:sz w:val="16"/>
          <w:szCs w:val="16"/>
        </w:rPr>
        <w:t xml:space="preserve">12  </w:t>
      </w:r>
      <w:r>
        <w:rPr>
          <w:sz w:val="16"/>
          <w:szCs w:val="16"/>
        </w:rPr>
        <w:t xml:space="preserve">The book gives 3,000 as the amount of Gain on sale of equipment (the Dubai oven, Chapter 10).</w:t>
      </w:r>
    </w:p>
    <w:p>
      <w:pPr>
        <w:spacing w:after="18"/>
        <w:ind w:left="300" w:hanging="300"/>
      </w:pPr>
      <w:r>
        <w:rPr>
          <w:b/>
          <w:bCs/>
          <w:color w:val="8186EF"/>
          <w:sz w:val="16"/>
          <w:szCs w:val="16"/>
        </w:rPr>
        <w:t xml:space="preserve">13  </w:t>
      </w:r>
      <w:r>
        <w:rPr>
          <w:sz w:val="16"/>
          <w:szCs w:val="16"/>
        </w:rPr>
        <w:t xml:space="preserve">Gains are shown net. A is wrong: Land is not sold in the main business. C is wrong: Gross presentation is for revenue, not gains.</w:t>
      </w:r>
    </w:p>
    <w:p>
      <w:pPr>
        <w:spacing w:after="18"/>
        <w:ind w:left="300" w:hanging="300"/>
      </w:pPr>
      <w:r>
        <w:rPr>
          <w:b/>
          <w:bCs/>
          <w:color w:val="8186EF"/>
          <w:sz w:val="16"/>
          <w:szCs w:val="16"/>
        </w:rPr>
        <w:t xml:space="preserve">14  </w:t>
      </w:r>
      <w:r>
        <w:rPr>
          <w:sz w:val="16"/>
          <w:szCs w:val="16"/>
        </w:rPr>
        <w:t xml:space="preserve">Unusual items stay in continuing operations. B is wrong: Extraordinary items no longer exist. C is wrong: No rule sends it to OCI.</w:t>
      </w:r>
    </w:p>
    <w:p>
      <w:pPr>
        <w:spacing w:after="18"/>
        <w:ind w:left="300" w:hanging="300"/>
      </w:pPr>
      <w:r>
        <w:rPr>
          <w:b/>
          <w:bCs/>
          <w:color w:val="8186EF"/>
          <w:sz w:val="16"/>
          <w:szCs w:val="16"/>
        </w:rPr>
        <w:t xml:space="preserve">15  </w:t>
      </w:r>
      <w:r>
        <w:rPr>
          <w:sz w:val="16"/>
          <w:szCs w:val="16"/>
        </w:rPr>
        <w:t xml:space="preserve">This is the definition in the conceptual framework. A is wrong: Most gains and losses are in net income. B is wrong: Gross presentation is used for revenue.</w:t>
      </w:r>
    </w:p>
    <w:p>
      <w:pPr>
        <w:spacing w:after="18"/>
        <w:ind w:left="300" w:hanging="300"/>
      </w:pPr>
      <w:r>
        <w:rPr>
          <w:b/>
          <w:bCs/>
          <w:color w:val="8186EF"/>
          <w:sz w:val="16"/>
          <w:szCs w:val="16"/>
        </w:rPr>
        <w:t xml:space="preserve">16  </w:t>
      </w:r>
      <w:r>
        <w:rPr>
          <w:sz w:val="16"/>
          <w:szCs w:val="16"/>
        </w:rPr>
        <w:t xml:space="preserve">Commissions are directly linked to the related revenue. A is wrong: Depreciation is allocated systematically. B is wrong: Research is expensed immediately.</w:t>
      </w:r>
    </w:p>
    <w:p>
      <w:pPr>
        <w:spacing w:after="18"/>
        <w:ind w:left="300" w:hanging="300"/>
      </w:pPr>
      <w:r>
        <w:rPr>
          <w:b/>
          <w:bCs/>
          <w:color w:val="8186EF"/>
          <w:sz w:val="16"/>
          <w:szCs w:val="16"/>
        </w:rPr>
        <w:t xml:space="preserve">17  </w:t>
      </w:r>
      <w:r>
        <w:rPr>
          <w:sz w:val="16"/>
          <w:szCs w:val="16"/>
        </w:rPr>
        <w:t xml:space="preserve">Gains are shown net. A is wrong: Land is not sold in the main business. C is wrong: Gross presentation is for revenue, not gains.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ASC 730 requires R&amp;D to be expensed. A is wrong: U.S. GAAP does not capitalize R&amp;D in general. B is wrong: Capitalizing development costs after feasibility is an IFRS rule.</w:t>
      </w:r>
    </w:p>
    <w:p>
      <w:pPr>
        <w:spacing w:after="18"/>
        <w:ind w:left="300" w:hanging="300"/>
      </w:pPr>
      <w:r>
        <w:rPr>
          <w:b/>
          <w:bCs/>
          <w:color w:val="8186EF"/>
          <w:sz w:val="16"/>
          <w:szCs w:val="16"/>
        </w:rPr>
        <w:t xml:space="preserve">21  </w:t>
      </w:r>
      <w:r>
        <w:rPr>
          <w:sz w:val="16"/>
          <w:szCs w:val="16"/>
        </w:rPr>
        <w:t xml:space="preserve">The cost is allocated to the periods that benefit. A is wrong: Only half of the benefit has been used. B is wrong: Six months have already been used.</w:t>
      </w:r>
    </w:p>
    <w:p>
      <w:pPr>
        <w:spacing w:after="18"/>
        <w:ind w:left="300" w:hanging="300"/>
      </w:pPr>
      <w:r>
        <w:rPr>
          <w:b/>
          <w:bCs/>
          <w:color w:val="8186EF"/>
          <w:sz w:val="16"/>
          <w:szCs w:val="16"/>
        </w:rPr>
        <w:t xml:space="preserve">22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15.2 · Expense recognition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systematic and rational allocation · period cost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systematic and rational allocation · period cost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systematic and rational allocation · period cost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Expenses are recognized in one of three ways. When there is a clear cause and effect, the expense follows the related revenue: cost of goods sold is recognized when the goods are sold. This is the matching principle from Chapter 11.</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 cost benefits several periods but cannot be linked to specific revenue, it is spread by systematic and rational allocation. Depreciation of the bottling line and the expiry of prepaid rent are examples. When a cost has no clear link to future revenue, it is a period cost and is expensed at once.”</w:t>
      </w:r>
    </w:p>
    <w:p>
      <w:pPr>
        <w:spacing w:after="18"/>
        <w:ind w:left="300" w:hanging="300"/>
      </w:pPr>
      <w:r>
        <w:rPr>
          <w:b/>
          <w:bCs/>
          <w:color w:val="8186EF"/>
          <w:sz w:val="16"/>
          <w:szCs w:val="16"/>
        </w:rPr>
        <w:t xml:space="preserve">2  </w:t>
      </w:r>
      <w:r>
        <w:rPr>
          <w:sz w:val="16"/>
          <w:szCs w:val="16"/>
        </w:rPr>
        <w:t xml:space="preserve">The book writes: “This is the matching principle from Chapter 11. When a cost benefits several periods but cannot be linked to specific revenue, it is spread by systematic and rational allocation. Depreciation of the bottling line and the expiry of prepaid rent are examples. When a cost has no clear link to future revenue, it is a period cost and is expensed at once.”</w:t>
      </w:r>
    </w:p>
    <w:p>
      <w:pPr>
        <w:spacing w:after="18"/>
        <w:ind w:left="300" w:hanging="300"/>
      </w:pPr>
      <w:r>
        <w:rPr>
          <w:b/>
          <w:bCs/>
          <w:color w:val="8186EF"/>
          <w:sz w:val="16"/>
          <w:szCs w:val="16"/>
        </w:rPr>
        <w:t xml:space="preserve">3  </w:t>
      </w:r>
      <w:r>
        <w:rPr>
          <w:sz w:val="16"/>
          <w:szCs w:val="16"/>
        </w:rPr>
        <w:t xml:space="preserve">The book writes: “When a cost benefits several periods but cannot be linked to specific revenue, it is spread by systematic and rational allocation. Depreciation of the bottling line and the expiry of prepaid rent are examples. When a cost has no clear link to future revenue, it is a period cost and is expensed at once. Advertising and research and development are expensed when incurred, even if they may bring future sales.”</w:t>
      </w:r>
    </w:p>
    <w:p>
      <w:pPr>
        <w:spacing w:after="18"/>
        <w:ind w:left="300" w:hanging="300"/>
      </w:pPr>
      <w:r>
        <w:rPr>
          <w:b/>
          <w:bCs/>
          <w:color w:val="8186EF"/>
          <w:sz w:val="16"/>
          <w:szCs w:val="16"/>
        </w:rPr>
        <w:t xml:space="preserve">4  </w:t>
      </w:r>
      <w:r>
        <w:rPr>
          <w:sz w:val="16"/>
          <w:szCs w:val="16"/>
        </w:rPr>
        <w:t xml:space="preserve">The book pairs Cause and effect (matching) with “Expense follows the related revenue”.</w:t>
      </w:r>
    </w:p>
    <w:p>
      <w:pPr>
        <w:spacing w:after="18"/>
        <w:ind w:left="300" w:hanging="300"/>
      </w:pPr>
      <w:r>
        <w:rPr>
          <w:b/>
          <w:bCs/>
          <w:color w:val="8186EF"/>
          <w:sz w:val="16"/>
          <w:szCs w:val="16"/>
        </w:rPr>
        <w:t xml:space="preserve">5  </w:t>
      </w:r>
      <w:r>
        <w:rPr>
          <w:sz w:val="16"/>
          <w:szCs w:val="16"/>
        </w:rPr>
        <w:t xml:space="preserve">The book’s own table gives Expense follows the related revenue as the idea of Cause and effect (matching).</w:t>
      </w:r>
    </w:p>
    <w:p>
      <w:pPr>
        <w:spacing w:after="18"/>
        <w:ind w:left="300" w:hanging="300"/>
      </w:pPr>
      <w:r>
        <w:rPr>
          <w:b/>
          <w:bCs/>
          <w:color w:val="8186EF"/>
          <w:sz w:val="16"/>
          <w:szCs w:val="16"/>
        </w:rPr>
        <w:t xml:space="preserve">6  </w:t>
      </w:r>
      <w:r>
        <w:rPr>
          <w:sz w:val="16"/>
          <w:szCs w:val="16"/>
        </w:rPr>
        <w:t xml:space="preserve">The book’s own table gives Cost spread over the periods that benefit as the idea of Systematic and rational allocation.</w:t>
      </w:r>
    </w:p>
    <w:p>
      <w:pPr>
        <w:spacing w:after="18"/>
        <w:ind w:left="300" w:hanging="300"/>
      </w:pPr>
      <w:r>
        <w:rPr>
          <w:b/>
          <w:bCs/>
          <w:color w:val="8186EF"/>
          <w:sz w:val="16"/>
          <w:szCs w:val="16"/>
        </w:rPr>
        <w:t xml:space="preserve">7  </w:t>
      </w:r>
      <w:r>
        <w:rPr>
          <w:sz w:val="16"/>
          <w:szCs w:val="16"/>
        </w:rPr>
        <w:t xml:space="preserve">The book’s own table gives No clear link to future revenue: a period cost as the idea of Immediate recognition.</w:t>
      </w:r>
    </w:p>
    <w:p>
      <w:pPr>
        <w:spacing w:after="18"/>
        <w:ind w:left="300" w:hanging="300"/>
      </w:pPr>
      <w:r>
        <w:rPr>
          <w:b/>
          <w:bCs/>
          <w:color w:val="8186EF"/>
          <w:sz w:val="16"/>
          <w:szCs w:val="16"/>
        </w:rPr>
        <w:t xml:space="preserve">8  </w:t>
      </w:r>
      <w:r>
        <w:rPr>
          <w:sz w:val="16"/>
          <w:szCs w:val="16"/>
        </w:rPr>
        <w:t xml:space="preserve">The book pairs Cause and effect (matching) with “Cost of goods sold; sales commissions (capitalized, Chapter 11)”.</w:t>
      </w:r>
    </w:p>
    <w:p>
      <w:pPr>
        <w:spacing w:after="18"/>
        <w:ind w:left="300" w:hanging="300"/>
      </w:pPr>
      <w:r>
        <w:rPr>
          <w:b/>
          <w:bCs/>
          <w:color w:val="8186EF"/>
          <w:sz w:val="16"/>
          <w:szCs w:val="16"/>
        </w:rPr>
        <w:t xml:space="preserve">9  </w:t>
      </w:r>
      <w:r>
        <w:rPr>
          <w:sz w:val="16"/>
          <w:szCs w:val="16"/>
        </w:rPr>
        <w:t xml:space="preserve">The book pairs Systematic and rational allocation with “Depreciation of the bottling line; prepaid rent”, not with “Advertising; research and development; most general administration”.</w:t>
      </w:r>
    </w:p>
    <w:p>
      <w:pPr>
        <w:spacing w:after="18"/>
        <w:ind w:left="300" w:hanging="300"/>
      </w:pPr>
      <w:r>
        <w:rPr>
          <w:b/>
          <w:bCs/>
          <w:color w:val="8186EF"/>
          <w:sz w:val="16"/>
          <w:szCs w:val="16"/>
        </w:rPr>
        <w:t xml:space="preserve">10  </w:t>
      </w:r>
      <w:r>
        <w:rPr>
          <w:sz w:val="16"/>
          <w:szCs w:val="16"/>
        </w:rPr>
        <w:t xml:space="preserve">Translation adjustments are OCI items. B is wrong: Equity securities changes go to net income. C is wrong: Realized gains on equipment are in net income.</w:t>
      </w:r>
    </w:p>
    <w:p>
      <w:pPr>
        <w:spacing w:after="18"/>
        <w:ind w:left="300" w:hanging="300"/>
      </w:pPr>
      <w:r>
        <w:rPr>
          <w:b/>
          <w:bCs/>
          <w:color w:val="8186EF"/>
          <w:sz w:val="16"/>
          <w:szCs w:val="16"/>
        </w:rPr>
        <w:t xml:space="preserve">11  </w:t>
      </w:r>
      <w:r>
        <w:rPr>
          <w:sz w:val="16"/>
          <w:szCs w:val="16"/>
        </w:rPr>
        <w:t xml:space="preserve">The gain moves out of AOCI into net income. A is wrong: The adjustment reduces OCI. C is wrong: Without it, the gain is counted twice.</w:t>
      </w:r>
    </w:p>
    <w:p>
      <w:pPr>
        <w:spacing w:after="18"/>
        <w:ind w:left="300" w:hanging="300"/>
      </w:pPr>
      <w:r>
        <w:rPr>
          <w:b/>
          <w:bCs/>
          <w:color w:val="8186EF"/>
          <w:sz w:val="16"/>
          <w:szCs w:val="16"/>
        </w:rPr>
        <w:t xml:space="preserve">12  </w:t>
      </w:r>
      <w:r>
        <w:rPr>
          <w:sz w:val="16"/>
          <w:szCs w:val="16"/>
        </w:rPr>
        <w:t xml:space="preserve">Net income plus OCI of $30,000. A is wrong: This omits OCI. C is wrong: This omits the reclassification.</w:t>
      </w:r>
    </w:p>
    <w:p>
      <w:pPr>
        <w:spacing w:after="18"/>
        <w:ind w:left="300" w:hanging="300"/>
      </w:pPr>
      <w:r>
        <w:rPr>
          <w:b/>
          <w:bCs/>
          <w:color w:val="8186EF"/>
          <w:sz w:val="16"/>
          <w:szCs w:val="16"/>
        </w:rPr>
        <w:t xml:space="preserve">13  </w:t>
      </w:r>
      <w:r>
        <w:rPr>
          <w:sz w:val="16"/>
          <w:szCs w:val="16"/>
        </w:rPr>
        <w:t xml:space="preserve">Reclassification ensures each gain is counted once. B is wrong: Double counting is what reclassification prevents. C is wrong: The gain is real and appears in net income.</w:t>
      </w:r>
    </w:p>
    <w:p>
      <w:pPr>
        <w:spacing w:after="18"/>
        <w:ind w:left="300" w:hanging="300"/>
      </w:pPr>
      <w:r>
        <w:rPr>
          <w:b/>
          <w:bCs/>
          <w:color w:val="8186EF"/>
          <w:sz w:val="16"/>
          <w:szCs w:val="16"/>
        </w:rPr>
        <w:t xml:space="preserve">14  </w:t>
      </w:r>
      <w:r>
        <w:rPr>
          <w:sz w:val="16"/>
          <w:szCs w:val="16"/>
        </w:rPr>
        <w:t xml:space="preserve">Translation adjustments are OCI items. B is wrong: Equity securities changes go to net income. C is wrong: Realized gains on equipment are in net income.</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book’s own table gives Continuing operations as the category of Gain on sale of a warehouse.</w:t>
      </w:r>
    </w:p>
    <w:p>
      <w:pPr>
        <w:spacing w:after="18"/>
        <w:ind w:left="300" w:hanging="300"/>
      </w:pPr>
      <w:r>
        <w:rPr>
          <w:b/>
          <w:bCs/>
          <w:color w:val="8186EF"/>
          <w:sz w:val="16"/>
          <w:szCs w:val="16"/>
        </w:rPr>
        <w:t xml:space="preserve">17  </w:t>
      </w:r>
      <w:r>
        <w:rPr>
          <w:sz w:val="16"/>
          <w:szCs w:val="16"/>
        </w:rPr>
        <w:t xml:space="preserve">The book’s own table gives Continuing operations as the category of Lawsuit settlement loss.</w:t>
      </w:r>
    </w:p>
    <w:p>
      <w:pPr>
        <w:spacing w:after="18"/>
        <w:ind w:left="300" w:hanging="300"/>
      </w:pPr>
      <w:r>
        <w:rPr>
          <w:b/>
          <w:bCs/>
          <w:color w:val="8186EF"/>
          <w:sz w:val="16"/>
          <w:szCs w:val="16"/>
        </w:rPr>
        <w:t xml:space="preserve">18  </w:t>
      </w:r>
      <w:r>
        <w:rPr>
          <w:sz w:val="16"/>
          <w:szCs w:val="16"/>
        </w:rPr>
        <w:t xml:space="preserve">The book’s own table gives Discontinued operations as the category of Dry-foods operating loss.</w:t>
      </w:r>
    </w:p>
    <w:p>
      <w:pPr>
        <w:spacing w:after="18"/>
        <w:ind w:left="300" w:hanging="300"/>
      </w:pPr>
      <w:r>
        <w:rPr>
          <w:b/>
          <w:bCs/>
          <w:color w:val="8186EF"/>
          <w:sz w:val="16"/>
          <w:szCs w:val="16"/>
        </w:rPr>
        <w:t xml:space="preserve">19  </w:t>
      </w:r>
      <w:r>
        <w:rPr>
          <w:sz w:val="16"/>
          <w:szCs w:val="16"/>
        </w:rPr>
        <w:t xml:space="preserve">All six criteria must be met, not only board approval. A is wrong: Approval is only one criterion. B is wrong: Held for sale can apply before the sale.</w:t>
      </w:r>
    </w:p>
    <w:p>
      <w:pPr>
        <w:spacing w:after="18"/>
        <w:ind w:left="300" w:hanging="300"/>
      </w:pPr>
      <w:r>
        <w:rPr>
          <w:b/>
          <w:bCs/>
          <w:color w:val="8186EF"/>
          <w:sz w:val="16"/>
          <w:szCs w:val="16"/>
        </w:rPr>
        <w:t xml:space="preserve">20  </w:t>
      </w:r>
      <w:r>
        <w:rPr>
          <w:sz w:val="16"/>
          <w:szCs w:val="16"/>
        </w:rPr>
        <w:t xml:space="preserve">Gains are limited to losses previously recognized. A is wrong: A recovery up to earlier losses is recognized. B is wrong: The limit is the earlier loss, not the excess.</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15.3 · Comprehensive income and reclassification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reclassification adjustment · gain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gain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reclassification adjustment · gain · comprehensive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reclassification adjustment · gain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Comprehensive income is net income plus other comprehensive income. U.S. OCI includes holding gains and losses on available-for-sale debt securities, foreign currency translation adjustments, the effective part of cash-flow hedges, and some pension gains and losses. Unrealized gains on equity securities are not OCI; they go to net income.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9  </w:t>
            </w:r>
            <w:r>
              <w:rPr>
                <w:b/>
                <w:bCs/>
                <w:color w:val="1F7A6A"/>
                <w:sz w:val="16"/>
                <w:szCs w:val="16"/>
              </w:rPr>
              <w:t xml:space="preserve">what the book says</w:t>
            </w:r>
          </w:p>
          <w:p>
            <w:pPr>
              <w:spacing w:after="34"/>
              <w:ind w:left="300"/>
            </w:pPr>
            <w:r>
              <w:rPr>
                <w:sz w:val="17"/>
                <w:szCs w:val="17"/>
              </w:rPr>
              <w:t xml:space="preserve">Without this adjustment, the same gain would be counted twice in comprehensive income: once in OCI when it arose, and again in net income on the sale.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“OCI and the reclassification adjustment for an AFS bond over two years. Forgetting the reclassification counts a realized gain twice. Comprehensive income adds this year's OCI, not the AOCI balance. Report OCI net of tax, or before tax with one tax line: do not mix them.”</w:t>
      </w:r>
    </w:p>
    <w:p>
      <w:pPr>
        <w:spacing w:after="18"/>
        <w:ind w:left="300" w:hanging="300"/>
      </w:pPr>
      <w:r>
        <w:rPr>
          <w:b/>
          <w:bCs/>
          <w:color w:val="8186EF"/>
          <w:sz w:val="16"/>
          <w:szCs w:val="16"/>
        </w:rPr>
        <w:t xml:space="preserve">2  </w:t>
      </w:r>
      <w:r>
        <w:rPr>
          <w:sz w:val="16"/>
          <w:szCs w:val="16"/>
        </w:rPr>
        <w:t xml:space="preserve">The book writes: “At the same time a reclassification adjustment removes it from OCI. Without this adjustment, the same gain would be counted twice in comprehensive income: once in OCI when it arose, and again in net income on the sale.”</w:t>
      </w:r>
    </w:p>
    <w:p>
      <w:pPr>
        <w:spacing w:after="18"/>
        <w:ind w:left="300" w:hanging="300"/>
      </w:pPr>
      <w:r>
        <w:rPr>
          <w:b/>
          <w:bCs/>
          <w:color w:val="8186EF"/>
          <w:sz w:val="16"/>
          <w:szCs w:val="16"/>
        </w:rPr>
        <w:t xml:space="preserve">3  </w:t>
      </w:r>
      <w:r>
        <w:rPr>
          <w:sz w:val="16"/>
          <w:szCs w:val="16"/>
        </w:rPr>
        <w:t xml:space="preserve">The book writes: “OCI and the reclassification adjustment for an AFS bond over two years. Forgetting the reclassification counts a realized gain twice. Comprehensive income adds this year's OCI, not the AOCI balance.”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“Gains and losses” as section 15.1.</w:t>
      </w:r>
    </w:p>
    <w:p>
      <w:pPr>
        <w:spacing w:after="18"/>
        <w:ind w:left="300" w:hanging="300"/>
      </w:pPr>
      <w:r>
        <w:rPr>
          <w:b/>
          <w:bCs/>
          <w:color w:val="8186EF"/>
          <w:sz w:val="16"/>
          <w:szCs w:val="16"/>
        </w:rPr>
        <w:t xml:space="preserve">6  </w:t>
      </w:r>
      <w:r>
        <w:rPr>
          <w:sz w:val="16"/>
          <w:szCs w:val="16"/>
        </w:rPr>
        <w:t xml:space="preserve">The book numbers “Expense recognition” as section 15.2.</w:t>
      </w:r>
    </w:p>
    <w:p>
      <w:pPr>
        <w:spacing w:after="18"/>
        <w:ind w:left="300" w:hanging="300"/>
      </w:pPr>
      <w:r>
        <w:rPr>
          <w:b/>
          <w:bCs/>
          <w:color w:val="8186EF"/>
          <w:sz w:val="16"/>
          <w:szCs w:val="16"/>
        </w:rPr>
        <w:t xml:space="preserve">7  </w:t>
      </w:r>
      <w:r>
        <w:rPr>
          <w:sz w:val="16"/>
          <w:szCs w:val="16"/>
        </w:rPr>
        <w:t xml:space="preserve">The book numbers “Comprehensive income and reclassification” as section 15.3.</w:t>
      </w:r>
    </w:p>
    <w:p>
      <w:pPr>
        <w:spacing w:after="18"/>
        <w:ind w:left="300" w:hanging="300"/>
      </w:pPr>
      <w:r>
        <w:rPr>
          <w:b/>
          <w:bCs/>
          <w:color w:val="8186EF"/>
          <w:sz w:val="16"/>
          <w:szCs w:val="16"/>
        </w:rPr>
        <w:t xml:space="preserve">8  </w:t>
      </w:r>
      <w:r>
        <w:rPr>
          <w:sz w:val="16"/>
          <w:szCs w:val="16"/>
        </w:rPr>
        <w:t xml:space="preserve">The book numbers “Is it a discontinued operation?” as section 15.4.</w:t>
      </w:r>
    </w:p>
    <w:p>
      <w:pPr>
        <w:spacing w:after="18"/>
        <w:ind w:left="300" w:hanging="300"/>
      </w:pPr>
      <w:r>
        <w:rPr>
          <w:b/>
          <w:bCs/>
          <w:color w:val="8186EF"/>
          <w:sz w:val="16"/>
          <w:szCs w:val="16"/>
        </w:rPr>
        <w:t xml:space="preserve">10  </w:t>
      </w:r>
      <w:r>
        <w:rPr>
          <w:sz w:val="16"/>
          <w:szCs w:val="16"/>
        </w:rPr>
        <w:t xml:space="preserve">The book gives 10,000 as the 2027 of Realized gain on sale.</w:t>
      </w:r>
    </w:p>
    <w:p>
      <w:pPr>
        <w:spacing w:after="18"/>
        <w:ind w:left="300" w:hanging="300"/>
      </w:pPr>
      <w:r>
        <w:rPr>
          <w:b/>
          <w:bCs/>
          <w:color w:val="8186EF"/>
          <w:sz w:val="16"/>
          <w:szCs w:val="16"/>
        </w:rPr>
        <w:t xml:space="preserve">11  </w:t>
      </w:r>
      <w:r>
        <w:rPr>
          <w:sz w:val="16"/>
          <w:szCs w:val="16"/>
        </w:rPr>
        <w:t xml:space="preserve">Net pretax gain of $200,000 less tax of $50,000. A is wrong: This is before tax. C is wrong: This ignores the operating loss and tax.</w:t>
      </w:r>
    </w:p>
    <w:p>
      <w:pPr>
        <w:spacing w:after="18"/>
        <w:ind w:left="300" w:hanging="300"/>
      </w:pPr>
      <w:r>
        <w:rPr>
          <w:b/>
          <w:bCs/>
          <w:color w:val="8186EF"/>
          <w:sz w:val="16"/>
          <w:szCs w:val="16"/>
        </w:rPr>
        <w:t xml:space="preserve">12  </w:t>
      </w:r>
      <w:r>
        <w:rPr>
          <w:sz w:val="16"/>
          <w:szCs w:val="16"/>
        </w:rPr>
        <w:t xml:space="preserve">Held for sale and discontinued operation are different tests. A is wrong: A single asset is not a strategic shift. B is wrong: OCI is not used.</w:t>
      </w:r>
    </w:p>
    <w:p>
      <w:pPr>
        <w:spacing w:after="18"/>
        <w:ind w:left="300" w:hanging="300"/>
      </w:pPr>
      <w:r>
        <w:rPr>
          <w:b/>
          <w:bCs/>
          <w:color w:val="8186EF"/>
          <w:sz w:val="16"/>
          <w:szCs w:val="16"/>
        </w:rPr>
        <w:t xml:space="preserve">13  </w:t>
      </w:r>
      <w:r>
        <w:rPr>
          <w:sz w:val="16"/>
          <w:szCs w:val="16"/>
        </w:rPr>
        <w:t xml:space="preserve">The group includes the assets and liabilities to be sold together, including allocated goodwill. B is wrong: Other assets and liabilities are included too. C is wrong: The head office is not being sold.</w:t>
      </w:r>
    </w:p>
    <w:p>
      <w:pPr>
        <w:spacing w:after="18"/>
        <w:ind w:left="300" w:hanging="300"/>
      </w:pPr>
      <w:r>
        <w:rPr>
          <w:b/>
          <w:bCs/>
          <w:color w:val="8186EF"/>
          <w:sz w:val="16"/>
          <w:szCs w:val="16"/>
        </w:rPr>
        <w:t xml:space="preserve">14  </w:t>
      </w:r>
      <w:r>
        <w:rPr>
          <w:sz w:val="16"/>
          <w:szCs w:val="16"/>
        </w:rPr>
        <w:t xml:space="preserve">Some IFRS OCI items never recycle. A is wrong: Revaluation surplus is not recycled. B is wrong: Selling land is not a discontinued operation.</w:t>
      </w:r>
    </w:p>
    <w:p>
      <w:pPr>
        <w:spacing w:after="18"/>
        <w:ind w:left="300" w:hanging="300"/>
      </w:pPr>
      <w:r>
        <w:rPr>
          <w:b/>
          <w:bCs/>
          <w:color w:val="8186EF"/>
          <w:sz w:val="16"/>
          <w:szCs w:val="16"/>
        </w:rPr>
        <w:t xml:space="preserve">15  </w:t>
      </w:r>
      <w:r>
        <w:rPr>
          <w:sz w:val="16"/>
          <w:szCs w:val="16"/>
        </w:rPr>
        <w:t xml:space="preserve">Net pretax gain of $200,000 less tax of $50,000. A is wrong: This is before tax. C is wrong: This ignores the operating loss and tax.</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book’s own table gives Yes: a major geographic area. as the answer of All operations in Jordan.</w:t>
      </w:r>
    </w:p>
    <w:p>
      <w:pPr>
        <w:spacing w:after="18"/>
        <w:ind w:left="300" w:hanging="300"/>
      </w:pPr>
      <w:r>
        <w:rPr>
          <w:b/>
          <w:bCs/>
          <w:color w:val="8186EF"/>
          <w:sz w:val="16"/>
          <w:szCs w:val="16"/>
        </w:rPr>
        <w:t xml:space="preserve">18  </w:t>
      </w:r>
      <w:r>
        <w:rPr>
          <w:sz w:val="16"/>
          <w:szCs w:val="16"/>
        </w:rPr>
        <w:t xml:space="preserve">The book’s own table gives No: a single asset; the gain or loss stays in continuing operations. as the answer of An old bottling machine.</w:t>
      </w:r>
    </w:p>
    <w:p>
      <w:pPr>
        <w:spacing w:after="18"/>
        <w:ind w:left="300" w:hanging="300"/>
      </w:pPr>
      <w:r>
        <w:rPr>
          <w:b/>
          <w:bCs/>
          <w:color w:val="8186EF"/>
          <w:sz w:val="16"/>
          <w:szCs w:val="16"/>
        </w:rPr>
        <w:t xml:space="preserve">19  </w:t>
      </w:r>
      <w:r>
        <w:rPr>
          <w:sz w:val="16"/>
          <w:szCs w:val="16"/>
        </w:rPr>
        <w:t xml:space="preserve">The book’s own table gives Yes: a major equity-method investment. as the answer of The stake in Jordan Glass.</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15.4 · Is it a discontinued operation?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discontinued operation · component of an entity · strategic shift</w:t>
            </w:r>
          </w:p>
        </w:tc>
        <w:tc>
          <w:tcPr>
            <w:tcW w:type="pct" w:w="1667"/>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held for sale · strategic shift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strategic shift · gain · loss · discontinued operation</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 disposal is reported as a discontinued operation only if three things are true. First, it is a component of an entity: its operations and cash flows can be clearly separated from the rest of the company. Second, the disposal is a strategic shift that has, or will have, a major effect on operations and results.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disposal is reported as a discontinued operation only if three things are true. First, it is a component of an entity: its operations and cash flows can be clearly separated from the rest of the company. Second, the disposal is a strategic shift that has, or will have, a major effect on operations and results.”</w:t>
      </w:r>
    </w:p>
    <w:p>
      <w:pPr>
        <w:spacing w:after="18"/>
        <w:ind w:left="300" w:hanging="300"/>
      </w:pPr>
      <w:r>
        <w:rPr>
          <w:b/>
          <w:bCs/>
          <w:color w:val="8186EF"/>
          <w:sz w:val="16"/>
          <w:szCs w:val="16"/>
        </w:rPr>
        <w:t xml:space="preserve">2  </w:t>
      </w:r>
      <w:r>
        <w:rPr>
          <w:sz w:val="16"/>
          <w:szCs w:val="16"/>
        </w:rPr>
        <w:t xml:space="preserve">The book writes: “Third, the component has been sold, abandoned or spun off, or it is held for sale. Examples of a strategic shift are leaving a major line of business, a major geographic area or a major equity-method investment. There is no official percentage for 'major'; it is a judgment.”</w:t>
      </w:r>
    </w:p>
    <w:p>
      <w:pPr>
        <w:spacing w:after="18"/>
        <w:ind w:left="300" w:hanging="300"/>
      </w:pPr>
      <w:r>
        <w:rPr>
          <w:b/>
          <w:bCs/>
          <w:color w:val="8186EF"/>
          <w:sz w:val="16"/>
          <w:szCs w:val="16"/>
        </w:rPr>
        <w:t xml:space="preserve">3  </w:t>
      </w:r>
      <w:r>
        <w:rPr>
          <w:sz w:val="16"/>
          <w:szCs w:val="16"/>
        </w:rPr>
        <w:t xml:space="preserve">The book writes: “Selling one machine, one store or one small product is not a strategic shift. The gain or loss stays in continuing operations, as for the Dubai oven. A business that meets the held-for-sale criteria when it is acquired is also a discontinued operation.”</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No: not a strategic shift as the discontinued operation? of Orontes closes one of its twelve olive-oil shops.</w:t>
      </w:r>
    </w:p>
    <w:p>
      <w:pPr>
        <w:spacing w:after="18"/>
        <w:ind w:left="300" w:hanging="300"/>
      </w:pPr>
      <w:r>
        <w:rPr>
          <w:b/>
          <w:bCs/>
          <w:color w:val="8186EF"/>
          <w:sz w:val="16"/>
          <w:szCs w:val="16"/>
        </w:rPr>
        <w:t xml:space="preserve">6  </w:t>
      </w:r>
      <w:r>
        <w:rPr>
          <w:sz w:val="16"/>
          <w:szCs w:val="16"/>
        </w:rPr>
        <w:t xml:space="preserve">The book’s own table gives ________ as the discontinued operation? of Orontes sells all its operations in Jordan, its only foreign market.</w:t>
      </w:r>
    </w:p>
    <w:p>
      <w:pPr>
        <w:spacing w:after="18"/>
        <w:ind w:left="300" w:hanging="300"/>
      </w:pPr>
      <w:r>
        <w:rPr>
          <w:b/>
          <w:bCs/>
          <w:color w:val="8186EF"/>
          <w:sz w:val="16"/>
          <w:szCs w:val="16"/>
        </w:rPr>
        <w:t xml:space="preserve">7  </w:t>
      </w:r>
      <w:r>
        <w:rPr>
          <w:sz w:val="16"/>
          <w:szCs w:val="16"/>
        </w:rPr>
        <w:t xml:space="preserve">The book’s own table gives ________ as the discontinued operation? of Orontes sells an old bottling machine.</w:t>
      </w:r>
    </w:p>
    <w:p>
      <w:pPr>
        <w:spacing w:after="18"/>
        <w:ind w:left="300" w:hanging="300"/>
      </w:pPr>
      <w:r>
        <w:rPr>
          <w:b/>
          <w:bCs/>
          <w:color w:val="8186EF"/>
          <w:sz w:val="16"/>
          <w:szCs w:val="16"/>
        </w:rPr>
        <w:t xml:space="preserve">8  </w:t>
      </w:r>
      <w:r>
        <w:rPr>
          <w:sz w:val="16"/>
          <w:szCs w:val="16"/>
        </w:rPr>
        <w:t xml:space="preserve">Compare your sentence with the book’s wording in the key.</w:t>
      </w:r>
    </w:p>
    <w:p>
      <w:pPr>
        <w:spacing w:after="18"/>
        <w:ind w:left="300" w:hanging="300"/>
      </w:pPr>
      <w:r>
        <w:rPr>
          <w:b/>
          <w:bCs/>
          <w:color w:val="8186EF"/>
          <w:sz w:val="16"/>
          <w:szCs w:val="16"/>
        </w:rPr>
        <w:t xml:space="preserve">9  </w:t>
      </w:r>
      <w:r>
        <w:rPr>
          <w:sz w:val="16"/>
          <w:szCs w:val="16"/>
        </w:rPr>
        <w:t xml:space="preserve">Every cycle settles one rule and shows where it comes from.</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11  </w:t>
      </w:r>
      <w:r>
        <w:rPr>
          <w:sz w:val="16"/>
          <w:szCs w:val="16"/>
        </w:rPr>
        <w:t xml:space="preserve">The term tables in each section are the book’s own.</w:t>
      </w:r>
    </w:p>
    <w:p>
      <w:pPr>
        <w:spacing w:after="18"/>
        <w:ind w:left="300" w:hanging="300"/>
      </w:pPr>
      <w:r>
        <w:rPr>
          <w:b/>
          <w:bCs/>
          <w:color w:val="8186EF"/>
          <w:sz w:val="16"/>
          <w:szCs w:val="16"/>
        </w:rPr>
        <w:t xml:space="preserve">12  </w:t>
      </w:r>
      <w:r>
        <w:rPr>
          <w:sz w:val="16"/>
          <w:szCs w:val="16"/>
        </w:rPr>
        <w:t xml:space="preserve">The exam marks the term, so the English word is the answer.</w:t>
      </w:r>
    </w:p>
    <w:p>
      <w:pPr>
        <w:spacing w:after="18"/>
        <w:ind w:left="300" w:hanging="300"/>
      </w:pPr>
      <w:r>
        <w:rPr>
          <w:b/>
          <w:bCs/>
          <w:color w:val="8186EF"/>
          <w:sz w:val="16"/>
          <w:szCs w:val="16"/>
        </w:rPr>
        <w:t xml:space="preserve">13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15.5 · Held for sale: criteria and measurement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held for sale · disposal group · fair value less cost to sell</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held for sale · loss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held for sale · disposal group · fair value less cost to sell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 component can be reported as discontinued before it is sold, once it is held for sale. All six criteria must be met: management with authority commits to a plan; the business is available for immediate sale; an active search for a buyer has begun; a sale is probable within one year; the price is reasonable; and the plan is unlikely to change.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component can be reported as discontinued before it is sold, once it is held for sale. A held-for-sale disposal group is measured at the lower of its carrying amount and its fair value less cost to sell.”</w:t>
      </w:r>
    </w:p>
    <w:p>
      <w:pPr>
        <w:spacing w:after="18"/>
        <w:ind w:left="300" w:hanging="300"/>
      </w:pPr>
      <w:r>
        <w:rPr>
          <w:b/>
          <w:bCs/>
          <w:color w:val="8186EF"/>
          <w:sz w:val="16"/>
          <w:szCs w:val="16"/>
        </w:rPr>
        <w:t xml:space="preserve">2  </w:t>
      </w:r>
      <w:r>
        <w:rPr>
          <w:sz w:val="16"/>
          <w:szCs w:val="16"/>
        </w:rPr>
        <w:t xml:space="preserve">The book writes: “The board approved the plan in March, but the business became held for sale only on June 30, when all six criteria were met. Timeline of the frozen-foods business: plan, held for sale, sale. This is the disposal loss that Chapter 3 reported.”</w:t>
      </w:r>
    </w:p>
    <w:p>
      <w:pPr>
        <w:spacing w:after="18"/>
        <w:ind w:left="300" w:hanging="300"/>
      </w:pPr>
      <w:r>
        <w:rPr>
          <w:b/>
          <w:bCs/>
          <w:color w:val="8186EF"/>
          <w:sz w:val="16"/>
          <w:szCs w:val="16"/>
        </w:rPr>
        <w:t xml:space="preserve">3  </w:t>
      </w:r>
      <w:r>
        <w:rPr>
          <w:sz w:val="16"/>
          <w:szCs w:val="16"/>
        </w:rPr>
        <w:t xml:space="preserve">The book writes: “A component can be reported as discontinued before it is sold, once it is held for sale. A held-for-sale disposal group is measured at the lower of its carrying amount and its fair value less cost to sell. Depreciation stops, and later increases in value are recognized only up to the losses already recorded.”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2,100,000 as the amount of Property, plant and equipment, net.</w:t>
      </w:r>
    </w:p>
    <w:p>
      <w:pPr>
        <w:spacing w:after="18"/>
        <w:ind w:left="300" w:hanging="300"/>
      </w:pPr>
      <w:r>
        <w:rPr>
          <w:b/>
          <w:bCs/>
          <w:color w:val="8186EF"/>
          <w:sz w:val="16"/>
          <w:szCs w:val="16"/>
        </w:rPr>
        <w:t xml:space="preserve">6  </w:t>
      </w:r>
      <w:r>
        <w:rPr>
          <w:sz w:val="16"/>
          <w:szCs w:val="16"/>
        </w:rPr>
        <w:t xml:space="preserve">The book’s own table gives 480,000 as the amount of Inventory.</w:t>
      </w:r>
    </w:p>
    <w:p>
      <w:pPr>
        <w:spacing w:after="18"/>
        <w:ind w:left="300" w:hanging="300"/>
      </w:pPr>
      <w:r>
        <w:rPr>
          <w:b/>
          <w:bCs/>
          <w:color w:val="8186EF"/>
          <w:sz w:val="16"/>
          <w:szCs w:val="16"/>
        </w:rPr>
        <w:t xml:space="preserve">7  </w:t>
      </w:r>
      <w:r>
        <w:rPr>
          <w:sz w:val="16"/>
          <w:szCs w:val="16"/>
        </w:rPr>
        <w:t xml:space="preserve">The book’s own table gives 400,000 as the amount of Receivables.</w:t>
      </w:r>
    </w:p>
    <w:p>
      <w:pPr>
        <w:spacing w:after="18"/>
        <w:ind w:left="300" w:hanging="300"/>
      </w:pPr>
      <w:r>
        <w:rPr>
          <w:b/>
          <w:bCs/>
          <w:color w:val="8186EF"/>
          <w:sz w:val="16"/>
          <w:szCs w:val="16"/>
        </w:rPr>
        <w:t xml:space="preserve">8  </w:t>
      </w:r>
      <w:r>
        <w:rPr>
          <w:sz w:val="16"/>
          <w:szCs w:val="16"/>
        </w:rPr>
        <w:t xml:space="preserve">The book’s own table gives 300,000 as the amount of Goodwill (left after the 2025 impairment, Chapter 10).</w:t>
      </w:r>
    </w:p>
    <w:p>
      <w:pPr>
        <w:spacing w:after="18"/>
        <w:ind w:left="300" w:hanging="300"/>
      </w:pPr>
      <w:r>
        <w:rPr>
          <w:b/>
          <w:bCs/>
          <w:color w:val="8186EF"/>
          <w:sz w:val="16"/>
          <w:szCs w:val="16"/>
        </w:rPr>
        <w:t xml:space="preserve">9  </w:t>
      </w:r>
      <w:r>
        <w:rPr>
          <w:sz w:val="16"/>
          <w:szCs w:val="16"/>
        </w:rPr>
        <w:t xml:space="preserve">The cost is spread over the periods that benefit. A is wrong: Depreciation cannot be linked to specific sales. C is wrong: The machine benefits several years.</w:t>
      </w:r>
    </w:p>
    <w:p>
      <w:pPr>
        <w:spacing w:after="18"/>
        <w:ind w:left="300" w:hanging="300"/>
      </w:pPr>
      <w:r>
        <w:rPr>
          <w:b/>
          <w:bCs/>
          <w:color w:val="8186EF"/>
          <w:sz w:val="16"/>
          <w:szCs w:val="16"/>
        </w:rPr>
        <w:t xml:space="preserve">10  </w:t>
      </w:r>
      <w:r>
        <w:rPr>
          <w:sz w:val="16"/>
          <w:szCs w:val="16"/>
        </w:rPr>
        <w:t xml:space="preserve">Advertising is a period cost. A is wrong: Future benefits of advertising are too uncertain to capitalize. B is wrong: Advertising is not a product cost.</w:t>
      </w:r>
    </w:p>
    <w:p>
      <w:pPr>
        <w:spacing w:after="18"/>
        <w:ind w:left="300" w:hanging="300"/>
      </w:pPr>
      <w:r>
        <w:rPr>
          <w:b/>
          <w:bCs/>
          <w:color w:val="8186EF"/>
          <w:sz w:val="16"/>
          <w:szCs w:val="16"/>
        </w:rPr>
        <w:t xml:space="preserve">11  </w:t>
      </w:r>
      <w:r>
        <w:rPr>
          <w:sz w:val="16"/>
          <w:szCs w:val="16"/>
        </w:rPr>
        <w:t xml:space="preserve">Selling equipment is peripheral to Orontes's main activities. B is wrong: Selling olive oil is Orontes's main activity. C is wrong: Maintenance services are part of its contracts with customers.</w:t>
      </w:r>
    </w:p>
    <w:p>
      <w:pPr>
        <w:spacing w:after="18"/>
        <w:ind w:left="300" w:hanging="300"/>
      </w:pPr>
      <w:r>
        <w:rPr>
          <w:b/>
          <w:bCs/>
          <w:color w:val="8186EF"/>
          <w:sz w:val="16"/>
          <w:szCs w:val="16"/>
        </w:rPr>
        <w:t xml:space="preserve">12  </w:t>
      </w:r>
      <w:r>
        <w:rPr>
          <w:sz w:val="16"/>
          <w:szCs w:val="16"/>
        </w:rPr>
        <w:t xml:space="preserve">CMA questions use exact terms, and one word can change the answer.</w:t>
      </w:r>
    </w:p>
    <w:p>
      <w:pPr>
        <w:spacing w:after="18"/>
        <w:ind w:left="300" w:hanging="300"/>
      </w:pPr>
      <w:r>
        <w:rPr>
          <w:b/>
          <w:bCs/>
          <w:color w:val="8186EF"/>
          <w:sz w:val="16"/>
          <w:szCs w:val="16"/>
        </w:rPr>
        <w:t xml:space="preserve">13  </w:t>
      </w:r>
      <w:r>
        <w:rPr>
          <w:sz w:val="16"/>
          <w:szCs w:val="16"/>
        </w:rPr>
        <w:t xml:space="preserve">The term tables in each section are the book’s own.</w:t>
      </w:r>
    </w:p>
    <w:p>
      <w:pPr>
        <w:spacing w:after="18"/>
        <w:ind w:left="300" w:hanging="300"/>
      </w:pPr>
      <w:r>
        <w:rPr>
          <w:b/>
          <w:bCs/>
          <w:color w:val="8186EF"/>
          <w:sz w:val="16"/>
          <w:szCs w:val="16"/>
        </w:rPr>
        <w:t xml:space="preserve">14  </w:t>
      </w:r>
      <w:r>
        <w:rPr>
          <w:sz w:val="16"/>
          <w:szCs w:val="16"/>
        </w:rPr>
        <w:t xml:space="preserve">Losses on operating assets are usually operating expenses. A is wrong: Impairments of operating assets are operating items. B is wrong: Impairments are not OCI.</w:t>
      </w:r>
    </w:p>
    <w:p>
      <w:pPr>
        <w:spacing w:after="18"/>
        <w:ind w:left="300" w:hanging="300"/>
      </w:pPr>
      <w:r>
        <w:rPr>
          <w:b/>
          <w:bCs/>
          <w:color w:val="8186EF"/>
          <w:sz w:val="16"/>
          <w:szCs w:val="16"/>
        </w:rPr>
        <w:t xml:space="preserve">15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15.6 · Presentation and IFRS differences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discontinued operation · 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discontinued operation · gain · loss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discontinued operation · loss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The results of a discontinued operation, including its operating results and any remeasurement or disposal gain or loss, are shown net of their own tax below income from continuing operations. Public companies also show per-share amounts for discontinued operations. The comparative years are reclassified so that all periods are shown on the same basis.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results of a discontinued operation, including its operating results and any remeasurement or disposal gain or loss, are shown net of their own tax below income from continuing operations. Public companies also show per-share amounts for discontinued operations.”</w:t>
      </w:r>
    </w:p>
    <w:p>
      <w:pPr>
        <w:spacing w:after="18"/>
        <w:ind w:left="300" w:hanging="300"/>
      </w:pPr>
      <w:r>
        <w:rPr>
          <w:b/>
          <w:bCs/>
          <w:color w:val="8186EF"/>
          <w:sz w:val="16"/>
          <w:szCs w:val="16"/>
        </w:rPr>
        <w:t xml:space="preserve">2  </w:t>
      </w:r>
      <w:r>
        <w:rPr>
          <w:sz w:val="16"/>
          <w:szCs w:val="16"/>
        </w:rPr>
        <w:t xml:space="preserve">The book writes: “The results of a discontinued operation, including its operating results and any remeasurement or disposal gain or loss, are shown net of their own tax below income from continuing operations. Public companies also show per-share amounts for discontinued operations. The comparative years are reclassified so that all periods are shown on the same basis.”</w:t>
      </w:r>
    </w:p>
    <w:p>
      <w:pPr>
        <w:spacing w:after="18"/>
        <w:ind w:left="300" w:hanging="300"/>
      </w:pPr>
      <w:r>
        <w:rPr>
          <w:b/>
          <w:bCs/>
          <w:color w:val="8186EF"/>
          <w:sz w:val="16"/>
          <w:szCs w:val="16"/>
        </w:rPr>
        <w:t xml:space="preserve">3  </w:t>
      </w:r>
      <w:r>
        <w:rPr>
          <w:sz w:val="16"/>
          <w:szCs w:val="16"/>
        </w:rPr>
        <w:t xml:space="preserve">The book writes: “Under IFRS 5, a discontinued operation must be a separate major line of business or geographical area, and earlier balance sheets are not re-presented. Some IFRS OCI items, such as a revaluation surplus, never return to profit or loss.”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“Gains and losses” as section 15.1.</w:t>
      </w:r>
    </w:p>
    <w:p>
      <w:pPr>
        <w:spacing w:after="18"/>
        <w:ind w:left="300" w:hanging="300"/>
      </w:pPr>
      <w:r>
        <w:rPr>
          <w:b/>
          <w:bCs/>
          <w:color w:val="8186EF"/>
          <w:sz w:val="16"/>
          <w:szCs w:val="16"/>
        </w:rPr>
        <w:t xml:space="preserve">6  </w:t>
      </w:r>
      <w:r>
        <w:rPr>
          <w:sz w:val="16"/>
          <w:szCs w:val="16"/>
        </w:rPr>
        <w:t xml:space="preserve">The book numbers “Expense recognition” as section 15.2.</w:t>
      </w:r>
    </w:p>
    <w:p>
      <w:pPr>
        <w:spacing w:after="18"/>
        <w:ind w:left="300" w:hanging="300"/>
      </w:pPr>
      <w:r>
        <w:rPr>
          <w:b/>
          <w:bCs/>
          <w:color w:val="8186EF"/>
          <w:sz w:val="16"/>
          <w:szCs w:val="16"/>
        </w:rPr>
        <w:t xml:space="preserve">7  </w:t>
      </w:r>
      <w:r>
        <w:rPr>
          <w:sz w:val="16"/>
          <w:szCs w:val="16"/>
        </w:rPr>
        <w:t xml:space="preserve">The book numbers “Comprehensive income and reclassification” as section 15.3.</w:t>
      </w:r>
    </w:p>
    <w:p>
      <w:pPr>
        <w:spacing w:after="18"/>
        <w:ind w:left="300" w:hanging="300"/>
      </w:pPr>
      <w:r>
        <w:rPr>
          <w:b/>
          <w:bCs/>
          <w:color w:val="8186EF"/>
          <w:sz w:val="16"/>
          <w:szCs w:val="16"/>
        </w:rPr>
        <w:t xml:space="preserve">8  </w:t>
      </w:r>
      <w:r>
        <w:rPr>
          <w:sz w:val="16"/>
          <w:szCs w:val="16"/>
        </w:rPr>
        <w:t xml:space="preserve">The book numbers “Is it a discontinued operation?” as section 15.4.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Definition of discontinued operation with “Component + strategic shift with a major effect”.</w:t>
      </w:r>
    </w:p>
    <w:p>
      <w:pPr>
        <w:spacing w:after="18"/>
        <w:ind w:left="300" w:hanging="300"/>
      </w:pPr>
      <w:r>
        <w:rPr>
          <w:b/>
          <w:bCs/>
          <w:color w:val="8186EF"/>
          <w:sz w:val="16"/>
          <w:szCs w:val="16"/>
        </w:rPr>
        <w:t xml:space="preserve">13  </w:t>
      </w:r>
      <w:r>
        <w:rPr>
          <w:sz w:val="16"/>
          <w:szCs w:val="16"/>
        </w:rPr>
        <w:t xml:space="preserve">The book’s own table pairs Sale expected within a year with “Probable”.</w:t>
      </w:r>
    </w:p>
    <w:p>
      <w:pPr>
        <w:spacing w:after="18"/>
        <w:ind w:left="300" w:hanging="300"/>
      </w:pPr>
      <w:r>
        <w:rPr>
          <w:b/>
          <w:bCs/>
          <w:color w:val="8186EF"/>
          <w:sz w:val="16"/>
          <w:szCs w:val="16"/>
        </w:rPr>
        <w:t xml:space="preserve">14  </w:t>
      </w:r>
      <w:r>
        <w:rPr>
          <w:sz w:val="16"/>
          <w:szCs w:val="16"/>
        </w:rPr>
        <w:t xml:space="preserve">The book’s own table pairs Balance sheet of earlier years with “Re-presented: assets and liabilities shown separately”.</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gain · reclassification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strategic shift · gain · loss · discontinued operation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held for sale · discontinued operation · 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15.1: Gains and losses. 15.2: Expense recognition. 15.3: Comprehensive income and reclassification. 15.4: Is it a discontinued operation?. 15.5: Held for sale: criteria and measurement. 15.6: Presentation and IFRS differences.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“Unrealized gains on equity securities are not OCI; they go to net income. When an OCI item is realized, for example when an AFS bond is sold, the gain moves into net income. At the same time a reclassification adjustment removes it from OCI.”</w:t>
      </w:r>
    </w:p>
    <w:p>
      <w:pPr>
        <w:spacing w:after="18"/>
        <w:ind w:left="300" w:hanging="300"/>
      </w:pPr>
      <w:r>
        <w:rPr>
          <w:b/>
          <w:bCs/>
          <w:color w:val="8186EF"/>
          <w:sz w:val="16"/>
          <w:szCs w:val="16"/>
        </w:rPr>
        <w:t xml:space="preserve">2  </w:t>
      </w:r>
      <w:r>
        <w:rPr>
          <w:sz w:val="16"/>
          <w:szCs w:val="16"/>
        </w:rPr>
        <w:t xml:space="preserve">The book writes: “Selling one machine, one store or one small product is not a strategic shift. The gain or loss stays in continuing operations, as for the Dubai oven. A business that meets the held-for-sale criteria when it is acquired is also a discontinued operation.”</w:t>
      </w:r>
    </w:p>
    <w:p>
      <w:pPr>
        <w:spacing w:after="18"/>
        <w:ind w:left="300" w:hanging="300"/>
      </w:pPr>
      <w:r>
        <w:rPr>
          <w:b/>
          <w:bCs/>
          <w:color w:val="8186EF"/>
          <w:sz w:val="16"/>
          <w:szCs w:val="16"/>
        </w:rPr>
        <w:t xml:space="preserve">3  </w:t>
      </w:r>
      <w:r>
        <w:rPr>
          <w:sz w:val="16"/>
          <w:szCs w:val="16"/>
        </w:rPr>
        <w:t xml:space="preserve">The book writes: “Stop depreciation once the group is held for sale. The results of a discontinued operation, including its operating results and any remeasurement or disposal gain or loss, are shown net of their own tax below income from continuing operations.”</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“Gains and losses” as section 15.1.</w:t>
      </w:r>
    </w:p>
    <w:p>
      <w:pPr>
        <w:spacing w:after="18"/>
        <w:ind w:left="300" w:hanging="300"/>
      </w:pPr>
      <w:r>
        <w:rPr>
          <w:b/>
          <w:bCs/>
          <w:color w:val="8186EF"/>
          <w:sz w:val="16"/>
          <w:szCs w:val="16"/>
        </w:rPr>
        <w:t xml:space="preserve">6  </w:t>
      </w:r>
      <w:r>
        <w:rPr>
          <w:sz w:val="16"/>
          <w:szCs w:val="16"/>
        </w:rPr>
        <w:t xml:space="preserve">The book numbers “Expense recognition” as section 15.2.</w:t>
      </w:r>
    </w:p>
    <w:p>
      <w:pPr>
        <w:spacing w:after="18"/>
        <w:ind w:left="300" w:hanging="300"/>
      </w:pPr>
      <w:r>
        <w:rPr>
          <w:b/>
          <w:bCs/>
          <w:color w:val="8186EF"/>
          <w:sz w:val="16"/>
          <w:szCs w:val="16"/>
        </w:rPr>
        <w:t xml:space="preserve">7  </w:t>
      </w:r>
      <w:r>
        <w:rPr>
          <w:sz w:val="16"/>
          <w:szCs w:val="16"/>
        </w:rPr>
        <w:t xml:space="preserve">The book numbers “Comprehensive income and reclassification” as section 15.3.</w:t>
      </w:r>
    </w:p>
    <w:p>
      <w:pPr>
        <w:spacing w:after="18"/>
        <w:ind w:left="300" w:hanging="300"/>
      </w:pPr>
      <w:r>
        <w:rPr>
          <w:b/>
          <w:bCs/>
          <w:color w:val="8186EF"/>
          <w:sz w:val="16"/>
          <w:szCs w:val="16"/>
        </w:rPr>
        <w:t xml:space="preserve">14  </w:t>
      </w:r>
      <w:r>
        <w:rPr>
          <w:sz w:val="16"/>
          <w:szCs w:val="16"/>
        </w:rPr>
        <w:t xml:space="preserve">All periods are shown on the same basis. A is wrong: Comparatives must be reclassified. C is wrong: Comparative years are still presented.</w:t>
      </w:r>
    </w:p>
    <w:p>
      <w:pPr>
        <w:spacing w:after="18"/>
        <w:ind w:left="300" w:hanging="300"/>
      </w:pPr>
      <w:r>
        <w:rPr>
          <w:b/>
          <w:bCs/>
          <w:color w:val="8186EF"/>
          <w:sz w:val="16"/>
          <w:szCs w:val="16"/>
        </w:rPr>
        <w:t xml:space="preserve">15  </w:t>
      </w:r>
      <w:r>
        <w:rPr>
          <w:sz w:val="16"/>
          <w:szCs w:val="16"/>
        </w:rPr>
        <w:t xml:space="preserve">Holding gain $2,000 minus the reclassification of $10,000. B is wrong: OCI changes when the AOCI amount is reclassified. C is wrong: This omits the reclassification adjustment.</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17  </w:t>
      </w:r>
      <w:r>
        <w:rPr>
          <w:sz w:val="16"/>
          <w:szCs w:val="16"/>
        </w:rPr>
        <w:t xml:space="preserve">The book states item C15-1 in those words.</w:t>
      </w:r>
    </w:p>
    <w:p>
      <w:pPr>
        <w:spacing w:after="18"/>
        <w:ind w:left="300" w:hanging="300"/>
      </w:pPr>
      <w:r>
        <w:rPr>
          <w:b/>
          <w:bCs/>
          <w:color w:val="8186EF"/>
          <w:sz w:val="16"/>
          <w:szCs w:val="16"/>
        </w:rPr>
        <w:t xml:space="preserve">18  </w:t>
      </w:r>
      <w:r>
        <w:rPr>
          <w:sz w:val="16"/>
          <w:szCs w:val="16"/>
        </w:rPr>
        <w:t xml:space="preserve">The book states item C15-2 in those words.</w:t>
      </w:r>
    </w:p>
    <w:p>
      <w:pPr>
        <w:spacing w:after="18"/>
        <w:ind w:left="300" w:hanging="300"/>
      </w:pPr>
      <w:r>
        <w:rPr>
          <w:b/>
          <w:bCs/>
          <w:color w:val="8186EF"/>
          <w:sz w:val="16"/>
          <w:szCs w:val="16"/>
        </w:rPr>
        <w:t xml:space="preserve">19  </w:t>
      </w:r>
      <w:r>
        <w:rPr>
          <w:sz w:val="16"/>
          <w:szCs w:val="16"/>
        </w:rPr>
        <w:t xml:space="preserve">The book states item C15-3 in those words.</w:t>
      </w:r>
    </w:p>
    <w:p>
      <w:pPr>
        <w:spacing w:after="18"/>
        <w:ind w:left="300" w:hanging="300"/>
      </w:pPr>
      <w:r>
        <w:rPr>
          <w:b/>
          <w:bCs/>
          <w:color w:val="8186EF"/>
          <w:sz w:val="16"/>
          <w:szCs w:val="16"/>
        </w:rPr>
        <w:t xml:space="preserve">20  </w:t>
      </w:r>
      <w:r>
        <w:rPr>
          <w:sz w:val="16"/>
          <w:szCs w:val="16"/>
        </w:rPr>
        <w:t xml:space="preserve">The book states item C15-4 in those words.</w:t>
      </w:r>
    </w:p>
    <w:p>
      <w:pPr>
        <w:spacing w:after="18"/>
        <w:ind w:left="300" w:hanging="300"/>
      </w:pPr>
      <w:r>
        <w:rPr>
          <w:b/>
          <w:bCs/>
          <w:color w:val="8186EF"/>
          <w:sz w:val="16"/>
          <w:szCs w:val="16"/>
        </w:rPr>
        <w:t xml:space="preserve">21  </w:t>
      </w:r>
      <w:r>
        <w:rPr>
          <w:sz w:val="16"/>
          <w:szCs w:val="16"/>
        </w:rPr>
        <w:t xml:space="preserve">The book states item C15-5 in those words.</w:t>
      </w:r>
    </w:p>
    <w:p>
      <w:pPr>
        <w:spacing w:after="18"/>
        <w:ind w:left="300" w:hanging="300"/>
      </w:pPr>
      <w:r>
        <w:rPr>
          <w:b/>
          <w:bCs/>
          <w:color w:val="8186EF"/>
          <w:sz w:val="16"/>
          <w:szCs w:val="16"/>
        </w:rPr>
        <w:t xml:space="preserve">22  </w:t>
      </w:r>
      <w:r>
        <w:rPr>
          <w:sz w:val="16"/>
          <w:szCs w:val="16"/>
        </w:rPr>
        <w:t xml:space="preserve">The book states item C15-6 in those words.</w:t>
      </w:r>
    </w:p>
    <w:p>
      <w:pPr>
        <w:spacing w:after="18"/>
        <w:ind w:left="300" w:hanging="300"/>
      </w:pPr>
      <w:r>
        <w:rPr>
          <w:b/>
          <w:bCs/>
          <w:color w:val="8186EF"/>
          <w:sz w:val="16"/>
          <w:szCs w:val="16"/>
        </w:rPr>
        <w:t xml:space="preserve">23  </w:t>
      </w:r>
      <w:r>
        <w:rPr>
          <w:sz w:val="16"/>
          <w:szCs w:val="16"/>
        </w:rPr>
        <w:t xml:space="preserve">Holding gain $2,000 minus the reclassification of $10,000. B is wrong: OCI changes when the AOCI amount is reclassified. C is wrong: This omits the reclassification adjustment.</w:t>
      </w:r>
    </w:p>
    <w:p>
      <w:pPr>
        <w:spacing w:after="18"/>
        <w:ind w:left="300" w:hanging="300"/>
      </w:pPr>
      <w:r>
        <w:rPr>
          <w:b/>
          <w:bCs/>
          <w:color w:val="8186EF"/>
          <w:sz w:val="16"/>
          <w:szCs w:val="16"/>
        </w:rPr>
        <w:t xml:space="preserve">24  </w:t>
      </w:r>
      <w:r>
        <w:rPr>
          <w:sz w:val="16"/>
          <w:szCs w:val="16"/>
        </w:rPr>
        <w:t xml:space="preserve">Leaving a major geographic area is a strategic shift. B is wrong: One shop is not a strategic shift. C is wrong: An asset sale gives a gain or loss in continuing operations.</w:t>
      </w:r>
    </w:p>
    <w:p>
      <w:pPr>
        <w:spacing w:after="18"/>
        <w:ind w:left="300" w:hanging="300"/>
      </w:pPr>
      <w:r>
        <w:rPr>
          <w:b/>
          <w:bCs/>
          <w:color w:val="8186EF"/>
          <w:sz w:val="16"/>
          <w:szCs w:val="16"/>
        </w:rPr>
        <w:t xml:space="preserve">25  </w:t>
      </w:r>
      <w:r>
        <w:rPr>
          <w:sz w:val="16"/>
          <w:szCs w:val="16"/>
        </w:rPr>
        <w:t xml:space="preserve">Every later answer depends on the adjusted exhibit.</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15 — answer keys</dc:title>
  <dc:subject>Measuring Income: Gains, Losses, Comprehensive Income and Discontinued Operations</dc:subject>
  <cp:category>Student Book</cp:category>
</cp:coreProperties>
</file>