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17.1 · (i) Share-based payments and employee benefits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defined benefit plan · remeasurements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defined benefit plan · remeasurements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defined benefit plan · remeasurements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defined benefit plan · remeasurements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For share awards that vest in parts, or graded vesting, U.S. GAAP lets a company recognize the cost straight-line over the whole period or tranche by tranche, when the awards have only service conditions. IFRS 2 requires tranche by tranche, which puts more expense in the early years.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c>
          <w:tcPr>
            <w:tcW w:type="pct" w:w="1667"/>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For a defined benefit plan, both frameworks put remeasurements in OCI.</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“GAAP, but accrued over the vesting period under IFRS. For a defined benefit plan, both frameworks put remeasurements in OCI. GAAP later amortizes them into net income; IAS 19 never reclassifies them. Share-based payments and employee benefits: U.S.”</w:t>
      </w:r>
    </w:p>
    <w:p>
      <w:pPr>
        <w:spacing w:after="18"/>
        <w:ind w:left="300" w:hanging="300"/>
      </w:pPr>
      <w:r>
        <w:rPr>
          <w:b/>
          <w:bCs/>
          <w:color w:val="8186EF"/>
          <w:sz w:val="16"/>
          <w:szCs w:val="16"/>
        </w:rPr>
        <w:t xml:space="preserve">2  </w:t>
      </w:r>
      <w:r>
        <w:rPr>
          <w:sz w:val="16"/>
          <w:szCs w:val="16"/>
        </w:rPr>
        <w:t xml:space="preserve">The book writes: “Employer payroll taxes on share awards are recognized when the tax obligation arises under U.S. GAAP, but accrued over the vesting period under IFRS. For a defined benefit plan, both frameworks put remeasurements in OCI.”</w:t>
      </w:r>
    </w:p>
    <w:p>
      <w:pPr>
        <w:spacing w:after="18"/>
        <w:ind w:left="300" w:hanging="300"/>
      </w:pPr>
      <w:r>
        <w:rPr>
          <w:b/>
          <w:bCs/>
          <w:color w:val="8186EF"/>
          <w:sz w:val="16"/>
          <w:szCs w:val="16"/>
        </w:rPr>
        <w:t xml:space="preserve">3  </w:t>
      </w:r>
      <w:r>
        <w:rPr>
          <w:sz w:val="16"/>
          <w:szCs w:val="16"/>
        </w:rPr>
        <w:t xml:space="preserve">The book writes: “For a defined benefit plan, both frameworks put remeasurements in OCI. GAAP later amortizes them into net income; IAS 19 never reclassifies them. Share-based payments and employee benefits: U.S. SC17-2 A company grants share options that vest one third each year for three years (service condition only).”</w:t>
      </w:r>
    </w:p>
    <w:p>
      <w:pPr>
        <w:spacing w:after="18"/>
        <w:ind w:left="300" w:hanging="300"/>
      </w:pPr>
      <w:r>
        <w:rPr>
          <w:b/>
          <w:bCs/>
          <w:color w:val="8186EF"/>
          <w:sz w:val="16"/>
          <w:szCs w:val="16"/>
        </w:rPr>
        <w:t xml:space="preserve">4  </w:t>
      </w:r>
      <w:r>
        <w:rPr>
          <w:sz w:val="16"/>
          <w:szCs w:val="16"/>
        </w:rPr>
        <w:t xml:space="preserve">The book pairs Graded vesting (service condition) with “Choice: straight-line over the whole period or tranche by tranche”.</w:t>
      </w:r>
    </w:p>
    <w:p>
      <w:pPr>
        <w:spacing w:after="18"/>
        <w:ind w:left="300" w:hanging="300"/>
      </w:pPr>
      <w:r>
        <w:rPr>
          <w:b/>
          <w:bCs/>
          <w:color w:val="8186EF"/>
          <w:sz w:val="16"/>
          <w:szCs w:val="16"/>
        </w:rPr>
        <w:t xml:space="preserve">5  </w:t>
      </w:r>
      <w:r>
        <w:rPr>
          <w:sz w:val="16"/>
          <w:szCs w:val="16"/>
        </w:rPr>
        <w:t xml:space="preserve">The book’s own table pairs Graded vesting (service condition) with “Choice: straight-line over the whole period or tranche by tranche”.</w:t>
      </w:r>
    </w:p>
    <w:p>
      <w:pPr>
        <w:spacing w:after="18"/>
        <w:ind w:left="300" w:hanging="300"/>
      </w:pPr>
      <w:r>
        <w:rPr>
          <w:b/>
          <w:bCs/>
          <w:color w:val="8186EF"/>
          <w:sz w:val="16"/>
          <w:szCs w:val="16"/>
        </w:rPr>
        <w:t xml:space="preserve">6  </w:t>
      </w:r>
      <w:r>
        <w:rPr>
          <w:sz w:val="16"/>
          <w:szCs w:val="16"/>
        </w:rPr>
        <w:t xml:space="preserve">The book’s own table pairs Forfeitures with “Policy choice: estimate or record as they occur”.</w:t>
      </w:r>
    </w:p>
    <w:p>
      <w:pPr>
        <w:spacing w:after="18"/>
        <w:ind w:left="300" w:hanging="300"/>
      </w:pPr>
      <w:r>
        <w:rPr>
          <w:b/>
          <w:bCs/>
          <w:color w:val="8186EF"/>
          <w:sz w:val="16"/>
          <w:szCs w:val="16"/>
        </w:rPr>
        <w:t xml:space="preserve">7  </w:t>
      </w:r>
      <w:r>
        <w:rPr>
          <w:sz w:val="16"/>
          <w:szCs w:val="16"/>
        </w:rPr>
        <w:t xml:space="preserve">The book’s own table pairs Employer payroll taxes on awards with “When the tax obligation arises (exercise or vesting)”.</w:t>
      </w:r>
    </w:p>
    <w:p>
      <w:pPr>
        <w:spacing w:after="18"/>
        <w:ind w:left="300" w:hanging="300"/>
      </w:pPr>
      <w:r>
        <w:rPr>
          <w:b/>
          <w:bCs/>
          <w:color w:val="8186EF"/>
          <w:sz w:val="16"/>
          <w:szCs w:val="16"/>
        </w:rPr>
        <w:t xml:space="preserve">8  </w:t>
      </w:r>
      <w:r>
        <w:rPr>
          <w:sz w:val="16"/>
          <w:szCs w:val="16"/>
        </w:rPr>
        <w:t xml:space="preserve">The book’s own table pairs Pension remeasurements (actuarial gains and losses) with “OCI, then amortized into net income (corridor)”.</w:t>
      </w:r>
    </w:p>
    <w:p>
      <w:pPr>
        <w:spacing w:after="18"/>
        <w:ind w:left="300" w:hanging="300"/>
      </w:pPr>
      <w:r>
        <w:rPr>
          <w:b/>
          <w:bCs/>
          <w:color w:val="8186EF"/>
          <w:sz w:val="16"/>
          <w:szCs w:val="16"/>
        </w:rPr>
        <w:t xml:space="preserve">9  </w:t>
      </w:r>
      <w:r>
        <w:rPr>
          <w:sz w:val="16"/>
          <w:szCs w:val="16"/>
        </w:rPr>
        <w:t xml:space="preserve">The book pairs Graded vesting (service condition) with “Tranche by tranche”.</w:t>
      </w:r>
    </w:p>
    <w:p>
      <w:pPr>
        <w:spacing w:after="18"/>
        <w:ind w:left="300" w:hanging="300"/>
      </w:pPr>
      <w:r>
        <w:rPr>
          <w:b/>
          <w:bCs/>
          <w:color w:val="8186EF"/>
          <w:sz w:val="16"/>
          <w:szCs w:val="16"/>
        </w:rPr>
        <w:t xml:space="preserve">10  </w:t>
      </w:r>
      <w:r>
        <w:rPr>
          <w:sz w:val="16"/>
          <w:szCs w:val="16"/>
        </w:rPr>
        <w:t xml:space="preserve">The book pairs Forfeitures with “Estimate”, not with “Net interest at the discount rate”.</w:t>
      </w:r>
    </w:p>
    <w:p>
      <w:pPr>
        <w:spacing w:after="18"/>
        <w:ind w:left="300" w:hanging="300"/>
      </w:pPr>
      <w:r>
        <w:rPr>
          <w:b/>
          <w:bCs/>
          <w:color w:val="8186EF"/>
          <w:sz w:val="16"/>
          <w:szCs w:val="16"/>
        </w:rPr>
        <w:t xml:space="preserve">12  </w:t>
      </w:r>
      <w:r>
        <w:rPr>
          <w:sz w:val="16"/>
          <w:szCs w:val="16"/>
        </w:rPr>
        <w:t xml:space="preserve">The book gives Tranche by tranche as the ifrs (ifrs 2, ias 19) of Graded vesting (service condition).</w:t>
      </w:r>
    </w:p>
    <w:p>
      <w:pPr>
        <w:spacing w:after="18"/>
        <w:ind w:left="300" w:hanging="300"/>
      </w:pPr>
      <w:r>
        <w:rPr>
          <w:b/>
          <w:bCs/>
          <w:color w:val="8186EF"/>
          <w:sz w:val="16"/>
          <w:szCs w:val="16"/>
        </w:rPr>
        <w:t xml:space="preserve">13  </w:t>
      </w:r>
      <w:r>
        <w:rPr>
          <w:sz w:val="16"/>
          <w:szCs w:val="16"/>
        </w:rPr>
        <w:t xml:space="preserve">IAS 19 remeasurements stay in equity. A is wrong: Amortization is the U.S. GAAP approach. B is wrong: They are not recycled.</w:t>
      </w:r>
    </w:p>
    <w:p>
      <w:pPr>
        <w:spacing w:after="18"/>
        <w:ind w:left="300" w:hanging="300"/>
      </w:pPr>
      <w:r>
        <w:rPr>
          <w:b/>
          <w:bCs/>
          <w:color w:val="8186EF"/>
          <w:sz w:val="16"/>
          <w:szCs w:val="16"/>
        </w:rPr>
        <w:t xml:space="preserve">14  </w:t>
      </w:r>
      <w:r>
        <w:rPr>
          <w:sz w:val="16"/>
          <w:szCs w:val="16"/>
        </w:rPr>
        <w:t xml:space="preserve">U.S. GAAP uses expected return; IAS 19 uses net interest. A is wrong: This is the IAS 19 net interest approach. B is wrong: The difference from actual return goes to OCI.</w:t>
      </w:r>
    </w:p>
    <w:p>
      <w:pPr>
        <w:spacing w:after="18"/>
        <w:ind w:left="300" w:hanging="300"/>
      </w:pPr>
      <w:r>
        <w:rPr>
          <w:b/>
          <w:bCs/>
          <w:color w:val="8186EF"/>
          <w:sz w:val="16"/>
          <w:szCs w:val="16"/>
        </w:rPr>
        <w:t xml:space="preserve">15  </w:t>
      </w:r>
      <w:r>
        <w:rPr>
          <w:sz w:val="16"/>
          <w:szCs w:val="16"/>
        </w:rPr>
        <w:t xml:space="preserve">Accruing over the vesting period is the IFRS approach. A is wrong: This is the IFRS treatment. C is wrong: No obligation exists at grant.</w:t>
      </w:r>
    </w:p>
    <w:p>
      <w:pPr>
        <w:spacing w:after="18"/>
        <w:ind w:left="300" w:hanging="300"/>
      </w:pPr>
      <w:r>
        <w:rPr>
          <w:b/>
          <w:bCs/>
          <w:color w:val="8186EF"/>
          <w:sz w:val="16"/>
          <w:szCs w:val="16"/>
        </w:rPr>
        <w:t xml:space="preserve">16  </w:t>
      </w:r>
      <w:r>
        <w:rPr>
          <w:sz w:val="16"/>
          <w:szCs w:val="16"/>
        </w:rPr>
        <w:t xml:space="preserve">Acquired intangibles are recognized under both. B is wrong: Neither framework recognizes internally generated brands. C is wrong: U.S. GAAP expenses development.</w:t>
      </w:r>
    </w:p>
    <w:p>
      <w:pPr>
        <w:spacing w:after="18"/>
        <w:ind w:left="300" w:hanging="300"/>
      </w:pPr>
      <w:r>
        <w:rPr>
          <w:b/>
          <w:bCs/>
          <w:color w:val="8186EF"/>
          <w:sz w:val="16"/>
          <w:szCs w:val="16"/>
        </w:rPr>
        <w:t xml:space="preserve">17  </w:t>
      </w:r>
      <w:r>
        <w:rPr>
          <w:sz w:val="16"/>
          <w:szCs w:val="16"/>
        </w:rPr>
        <w:t xml:space="preserve">IAS 19 remeasurements stay in equity. A is wrong: Amortization is the U.S. GAAP approach. B is wrong: They are not recycled.</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19  </w:t>
      </w:r>
      <w:r>
        <w:rPr>
          <w:sz w:val="16"/>
          <w:szCs w:val="16"/>
        </w:rPr>
        <w:t xml:space="preserve">The book’s own table gives Lowers U.S. net income as the category of L1 Development costs.</w:t>
      </w:r>
    </w:p>
    <w:p>
      <w:pPr>
        <w:spacing w:after="18"/>
        <w:ind w:left="300" w:hanging="300"/>
      </w:pPr>
      <w:r>
        <w:rPr>
          <w:b/>
          <w:bCs/>
          <w:color w:val="8186EF"/>
          <w:sz w:val="16"/>
          <w:szCs w:val="16"/>
        </w:rPr>
        <w:t xml:space="preserve">20  </w:t>
      </w:r>
      <w:r>
        <w:rPr>
          <w:sz w:val="16"/>
          <w:szCs w:val="16"/>
        </w:rPr>
        <w:t xml:space="preserve">The book’s own table gives Lowers U.S. net income as the category of L2 Write-down reversal.</w:t>
      </w:r>
    </w:p>
    <w:p>
      <w:pPr>
        <w:spacing w:after="18"/>
        <w:ind w:left="300" w:hanging="300"/>
      </w:pPr>
      <w:r>
        <w:rPr>
          <w:b/>
          <w:bCs/>
          <w:color w:val="8186EF"/>
          <w:sz w:val="16"/>
          <w:szCs w:val="16"/>
        </w:rPr>
        <w:t xml:space="preserve">21  </w:t>
      </w:r>
      <w:r>
        <w:rPr>
          <w:sz w:val="16"/>
          <w:szCs w:val="16"/>
        </w:rPr>
        <w:t xml:space="preserve">The book’s own table gives No effect on net income as the category of L3 Land revaluation.</w:t>
      </w:r>
    </w:p>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17.2 · (ii) Intangible assets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intangibles · difference · development</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capitalizes · development · feasibility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revaluation · intangibles · frameworks</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The largest intangibles difference is development costs. U.S. GAAP expenses research and development as incurred, with narrow exceptions for software. IAS 38 expenses research but capitalizes development once six criteria are met, such as technical feasibility, intention and ability to complete, and a way to generate future benefits.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largest intangibles difference is development costs. GAAP expenses research and development as incurred, with narrow exceptions for software.”</w:t>
      </w:r>
    </w:p>
    <w:p>
      <w:pPr>
        <w:spacing w:after="18"/>
        <w:ind w:left="300" w:hanging="300"/>
      </w:pPr>
      <w:r>
        <w:rPr>
          <w:b/>
          <w:bCs/>
          <w:color w:val="8186EF"/>
          <w:sz w:val="16"/>
          <w:szCs w:val="16"/>
        </w:rPr>
        <w:t xml:space="preserve">2  </w:t>
      </w:r>
      <w:r>
        <w:rPr>
          <w:sz w:val="16"/>
          <w:szCs w:val="16"/>
        </w:rPr>
        <w:t xml:space="preserve">The book writes: “IAS 38 expenses research but capitalizes development once six criteria are met, such as technical feasibility, intention and ability to complete, and a way to generate future benefits. GAAP the whole amount is an expense; under IFRS it is an intangible asset, amortized once the product is ready.”</w:t>
      </w:r>
    </w:p>
    <w:p>
      <w:pPr>
        <w:spacing w:after="18"/>
        <w:ind w:left="300" w:hanging="300"/>
      </w:pPr>
      <w:r>
        <w:rPr>
          <w:b/>
          <w:bCs/>
          <w:color w:val="8186EF"/>
          <w:sz w:val="16"/>
          <w:szCs w:val="16"/>
        </w:rPr>
        <w:t xml:space="preserve">3  </w:t>
      </w:r>
      <w:r>
        <w:rPr>
          <w:sz w:val="16"/>
          <w:szCs w:val="16"/>
        </w:rPr>
        <w:t xml:space="preserve">The book writes: “IAS 38 also allows the revaluation model for intangibles, but only where an active market exists, which is rare. Both frameworks refuse to recognize internally generated brands. Private companies may amortize goodwill, but an SEC registrant such as Orontes may not.”</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pairs Software developed for sale or internal use with “Capitalized only in limited stages (ASC 985-20, 350-40)”.</w:t>
      </w:r>
    </w:p>
    <w:p>
      <w:pPr>
        <w:spacing w:after="18"/>
        <w:ind w:left="300" w:hanging="300"/>
      </w:pPr>
      <w:r>
        <w:rPr>
          <w:b/>
          <w:bCs/>
          <w:color w:val="8186EF"/>
          <w:sz w:val="16"/>
          <w:szCs w:val="16"/>
        </w:rPr>
        <w:t xml:space="preserve">6  </w:t>
      </w:r>
      <w:r>
        <w:rPr>
          <w:sz w:val="16"/>
          <w:szCs w:val="16"/>
        </w:rPr>
        <w:t xml:space="preserve">The book’s own table pairs Revaluation of intangibles with “Not allowed”.</w:t>
      </w:r>
    </w:p>
    <w:p>
      <w:pPr>
        <w:spacing w:after="18"/>
        <w:ind w:left="300" w:hanging="300"/>
      </w:pPr>
      <w:r>
        <w:rPr>
          <w:b/>
          <w:bCs/>
          <w:color w:val="8186EF"/>
          <w:sz w:val="16"/>
          <w:szCs w:val="16"/>
        </w:rPr>
        <w:t xml:space="preserve">7  </w:t>
      </w:r>
      <w:r>
        <w:rPr>
          <w:sz w:val="16"/>
          <w:szCs w:val="16"/>
        </w:rPr>
        <w:t xml:space="preserve">The book’s own table pairs Internally generated brands and customer lists with “Not recognized”.</w:t>
      </w:r>
    </w:p>
    <w:p>
      <w:pPr>
        <w:spacing w:after="18"/>
        <w:ind w:left="300" w:hanging="300"/>
      </w:pPr>
      <w:r>
        <w:rPr>
          <w:b/>
          <w:bCs/>
          <w:color w:val="8186EF"/>
          <w:sz w:val="16"/>
          <w:szCs w:val="16"/>
        </w:rPr>
        <w:t xml:space="preserve">8  </w:t>
      </w:r>
      <w:r>
        <w:rPr>
          <w:sz w:val="16"/>
          <w:szCs w:val="16"/>
        </w:rPr>
        <w:t xml:space="preserve">The book pairs Software developed for sale or internal use with “Development rules of IAS 38”, not with “Not amortized; tested for impairment”.</w:t>
      </w:r>
    </w:p>
    <w:p>
      <w:pPr>
        <w:spacing w:after="18"/>
        <w:ind w:left="300" w:hanging="300"/>
      </w:pPr>
      <w:r>
        <w:rPr>
          <w:b/>
          <w:bCs/>
          <w:color w:val="8186EF"/>
          <w:sz w:val="16"/>
          <w:szCs w:val="16"/>
        </w:rPr>
        <w:t xml:space="preserve">9  </w:t>
      </w:r>
      <w:r>
        <w:rPr>
          <w:sz w:val="16"/>
          <w:szCs w:val="16"/>
        </w:rPr>
        <w:t xml:space="preserve">LCM still applies to LIFO and the retail method. B is wrong: LCNRV applies to FIFO and average cost. C is wrong: Inventory is not at fair value.</w:t>
      </w:r>
    </w:p>
    <w:p>
      <w:pPr>
        <w:spacing w:after="18"/>
        <w:ind w:left="300" w:hanging="300"/>
      </w:pPr>
      <w:r>
        <w:rPr>
          <w:b/>
          <w:bCs/>
          <w:color w:val="8186EF"/>
          <w:sz w:val="16"/>
          <w:szCs w:val="16"/>
        </w:rPr>
        <w:t xml:space="preserve">10  </w:t>
      </w:r>
      <w:r>
        <w:rPr>
          <w:sz w:val="16"/>
          <w:szCs w:val="16"/>
        </w:rPr>
        <w:t xml:space="preserve">IFRS 16 remeasures for index changes; ASC 842 does not. A is wrong: This is the U.S. GAAP treatment. C is wrong: Classification is not affected.</w:t>
      </w:r>
    </w:p>
    <w:p>
      <w:pPr>
        <w:spacing w:after="18"/>
        <w:ind w:left="300" w:hanging="300"/>
      </w:pPr>
      <w:r>
        <w:rPr>
          <w:b/>
          <w:bCs/>
          <w:color w:val="8186EF"/>
          <w:sz w:val="16"/>
          <w:szCs w:val="16"/>
        </w:rPr>
        <w:t xml:space="preserve">11  </w:t>
      </w:r>
      <w:r>
        <w:rPr>
          <w:sz w:val="16"/>
          <w:szCs w:val="16"/>
        </w:rPr>
        <w:t xml:space="preserve">Only the timing differs. A is wrong: Totals are equal. C is wrong: Totals are equal.</w:t>
      </w:r>
    </w:p>
    <w:p>
      <w:pPr>
        <w:spacing w:after="18"/>
        <w:ind w:left="300" w:hanging="300"/>
      </w:pPr>
      <w:r>
        <w:rPr>
          <w:b/>
          <w:bCs/>
          <w:color w:val="8186EF"/>
          <w:sz w:val="16"/>
          <w:szCs w:val="16"/>
        </w:rPr>
        <w:t xml:space="preserve">12  </w:t>
      </w:r>
      <w:r>
        <w:rPr>
          <w:sz w:val="16"/>
          <w:szCs w:val="16"/>
        </w:rPr>
        <w:t xml:space="preserve">IAS 23 deducts investment income on specific borrowings. A is wrong: This is closer to the U.S. GAAP approach. B is wrong: Borrowing costs on qualifying assets are capitalized.</w:t>
      </w:r>
    </w:p>
    <w:p>
      <w:pPr>
        <w:spacing w:after="18"/>
        <w:ind w:left="300" w:hanging="300"/>
      </w:pPr>
      <w:r>
        <w:rPr>
          <w:b/>
          <w:bCs/>
          <w:color w:val="8186EF"/>
          <w:sz w:val="16"/>
          <w:szCs w:val="16"/>
        </w:rPr>
        <w:t xml:space="preserve">13  </w:t>
      </w:r>
      <w:r>
        <w:rPr>
          <w:sz w:val="16"/>
          <w:szCs w:val="16"/>
        </w:rPr>
        <w:t xml:space="preserve">LCM still applies to LIFO and the retail method. B is wrong: LCNRV applies to FIFO and average cost. C is wrong: Inventory is not at fair value.</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15  </w:t>
      </w:r>
      <w:r>
        <w:rPr>
          <w:sz w:val="16"/>
          <w:szCs w:val="16"/>
        </w:rPr>
        <w:t xml:space="preserve">The book’s own table gives IFRS only as the answer of Development costs capitalized when criteria are met.</w:t>
      </w:r>
    </w:p>
    <w:p>
      <w:pPr>
        <w:spacing w:after="18"/>
        <w:ind w:left="300" w:hanging="300"/>
      </w:pPr>
      <w:r>
        <w:rPr>
          <w:b/>
          <w:bCs/>
          <w:color w:val="8186EF"/>
          <w:sz w:val="16"/>
          <w:szCs w:val="16"/>
        </w:rPr>
        <w:t xml:space="preserve">16  </w:t>
      </w:r>
      <w:r>
        <w:rPr>
          <w:sz w:val="16"/>
          <w:szCs w:val="16"/>
        </w:rPr>
        <w:t xml:space="preserve">The book’s own table gives U.S. GAAP only as the answer of Impairment tested first with undiscounted cash flows.</w:t>
      </w:r>
    </w:p>
    <w:p>
      <w:pPr>
        <w:spacing w:after="18"/>
        <w:ind w:left="300" w:hanging="300"/>
      </w:pPr>
      <w:r>
        <w:rPr>
          <w:b/>
          <w:bCs/>
          <w:color w:val="8186EF"/>
          <w:sz w:val="16"/>
          <w:szCs w:val="16"/>
        </w:rPr>
        <w:t xml:space="preserve">17  </w:t>
      </w:r>
      <w:r>
        <w:rPr>
          <w:sz w:val="16"/>
          <w:szCs w:val="16"/>
        </w:rPr>
        <w:t xml:space="preserve">The book’s own table gives Both as the answer of A short-term lease exemption exists.</w:t>
      </w:r>
    </w:p>
    <w:p>
      <w:pPr>
        <w:spacing w:after="18"/>
        <w:ind w:left="300" w:hanging="300"/>
      </w:pPr>
      <w:r>
        <w:rPr>
          <w:b/>
          <w:bCs/>
          <w:color w:val="8186EF"/>
          <w:sz w:val="16"/>
          <w:szCs w:val="16"/>
        </w:rPr>
        <w:t xml:space="preserve">18  </w:t>
      </w:r>
      <w:r>
        <w:rPr>
          <w:sz w:val="16"/>
          <w:szCs w:val="16"/>
        </w:rPr>
        <w:t xml:space="preserve">IAS 40 offers a fair value or cost model; U.S. GAAP has no such category. A is wrong: IFRS also allows fair value. B is wrong: Investment property fair value changes go to profit.</w:t>
      </w:r>
    </w:p>
    <w:p>
      <w:pPr>
        <w:spacing w:after="18"/>
        <w:ind w:left="300" w:hanging="300"/>
      </w:pPr>
      <w:r>
        <w:rPr>
          <w:b/>
          <w:bCs/>
          <w:color w:val="8186EF"/>
          <w:sz w:val="16"/>
          <w:szCs w:val="16"/>
        </w:rPr>
        <w:t xml:space="preserve">19  </w:t>
      </w:r>
      <w:r>
        <w:rPr>
          <w:sz w:val="16"/>
          <w:szCs w:val="16"/>
        </w:rPr>
        <w:t xml:space="preserve">Step 1 is the recoverability test. B is wrong: Value in use is an IFRS measure. C is wrong: Recoverable amount is an IFRS measure.</w:t>
      </w:r>
    </w:p>
    <w:p>
      <w:pPr>
        <w:spacing w:after="18"/>
        <w:ind w:left="300" w:hanging="300"/>
      </w:pPr>
      <w:r>
        <w:rPr>
          <w:b/>
          <w:bCs/>
          <w:color w:val="8186EF"/>
          <w:sz w:val="16"/>
          <w:szCs w:val="16"/>
        </w:rPr>
        <w:t xml:space="preserve">20  </w:t>
      </w:r>
      <w:r>
        <w:rPr>
          <w:sz w:val="16"/>
          <w:szCs w:val="16"/>
        </w:rPr>
        <w:t xml:space="preserve">Every item on a Workshop sheet is settled by something printed on the same sheet.</w:t>
      </w:r>
    </w:p>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17.3 · (iii) Inventories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financial · statements · frameworks</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inventory · difference · recovers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write-down · Inventory</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IFRS does not allow LIFO. U.S. GAAP allows it, and companies that use LIFO for tax must also use it in their financial statements. Chapter 7 showed how LIFO changes cost of goods sold when prices rise.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“GAAP allows it, and companies that use LIFO for tax must also use it in their financial statements. Chapter 7 showed how LIFO changes cost of goods sold when prices rise. Both frameworks write inventory down when its value falls below cost.”</w:t>
      </w:r>
    </w:p>
    <w:p>
      <w:pPr>
        <w:spacing w:after="18"/>
        <w:ind w:left="300" w:hanging="300"/>
      </w:pPr>
      <w:r>
        <w:rPr>
          <w:b/>
          <w:bCs/>
          <w:color w:val="8186EF"/>
          <w:sz w:val="16"/>
          <w:szCs w:val="16"/>
        </w:rPr>
        <w:t xml:space="preserve">2  </w:t>
      </w:r>
      <w:r>
        <w:rPr>
          <w:sz w:val="16"/>
          <w:szCs w:val="16"/>
        </w:rPr>
        <w:t xml:space="preserve">The book writes: “IAS 2 uses the lower of cost and NRV for all inventory. GAAP uses lower of cost and NRV for FIFO and average cost, but lower of cost or market for LIFO and the retail method. The key difference comes when value recovers.”</w:t>
      </w:r>
    </w:p>
    <w:p>
      <w:pPr>
        <w:spacing w:after="18"/>
        <w:ind w:left="300" w:hanging="300"/>
      </w:pPr>
      <w:r>
        <w:rPr>
          <w:b/>
          <w:bCs/>
          <w:color w:val="8186EF"/>
          <w:sz w:val="16"/>
          <w:szCs w:val="16"/>
        </w:rPr>
        <w:t xml:space="preserve">3  </w:t>
      </w:r>
      <w:r>
        <w:rPr>
          <w:sz w:val="16"/>
          <w:szCs w:val="16"/>
        </w:rPr>
        <w:t xml:space="preserve">The book writes: “IFRS reverses the write-down, but never above the original cost. Inventory write-down and recovery: IFRS reverses, U.S. French stocks means inventory, not shares.”</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“(ii) Intangible assets” as section 17.2.</w:t>
      </w:r>
    </w:p>
    <w:p>
      <w:pPr>
        <w:spacing w:after="18"/>
        <w:ind w:left="300" w:hanging="300"/>
      </w:pPr>
      <w:r>
        <w:rPr>
          <w:b/>
          <w:bCs/>
          <w:color w:val="8186EF"/>
          <w:sz w:val="16"/>
          <w:szCs w:val="16"/>
        </w:rPr>
        <w:t xml:space="preserve">6  </w:t>
      </w:r>
      <w:r>
        <w:rPr>
          <w:sz w:val="16"/>
          <w:szCs w:val="16"/>
        </w:rPr>
        <w:t xml:space="preserve">The book numbers “(iii) Inventories” as section 17.3.</w:t>
      </w:r>
    </w:p>
    <w:p>
      <w:pPr>
        <w:spacing w:after="18"/>
        <w:ind w:left="300" w:hanging="300"/>
      </w:pPr>
      <w:r>
        <w:rPr>
          <w:b/>
          <w:bCs/>
          <w:color w:val="8186EF"/>
          <w:sz w:val="16"/>
          <w:szCs w:val="16"/>
        </w:rPr>
        <w:t xml:space="preserve">7  </w:t>
      </w:r>
      <w:r>
        <w:rPr>
          <w:sz w:val="16"/>
          <w:szCs w:val="16"/>
        </w:rPr>
        <w:t xml:space="preserve">The book numbers “(iv) Leases: the lessee” as section 17.4.</w:t>
      </w:r>
    </w:p>
    <w:p>
      <w:pPr>
        <w:spacing w:after="18"/>
        <w:ind w:left="300" w:hanging="300"/>
      </w:pPr>
      <w:r>
        <w:rPr>
          <w:b/>
          <w:bCs/>
          <w:color w:val="8186EF"/>
          <w:sz w:val="16"/>
          <w:szCs w:val="16"/>
        </w:rPr>
        <w:t xml:space="preserve">8  </w:t>
      </w:r>
      <w:r>
        <w:rPr>
          <w:sz w:val="16"/>
          <w:szCs w:val="16"/>
        </w:rPr>
        <w:t xml:space="preserve">The book numbers “(v) Long-lived assets” as section 17.5.</w:t>
      </w:r>
    </w:p>
    <w:p>
      <w:pPr>
        <w:spacing w:after="18"/>
        <w:ind w:left="300" w:hanging="300"/>
      </w:pPr>
      <w:r>
        <w:rPr>
          <w:b/>
          <w:bCs/>
          <w:color w:val="8186EF"/>
          <w:sz w:val="16"/>
          <w:szCs w:val="16"/>
        </w:rPr>
        <w:t xml:space="preserve">9  </w:t>
      </w:r>
      <w:r>
        <w:rPr>
          <w:sz w:val="16"/>
          <w:szCs w:val="16"/>
        </w:rPr>
        <w:t xml:space="preserve">Recoverable amount is the higher amount, $460,000. A is wrong: IFRS has no undiscounted screen. C is wrong: This uses an average.</w:t>
      </w:r>
    </w:p>
    <w:p>
      <w:pPr>
        <w:spacing w:after="18"/>
        <w:ind w:left="300" w:hanging="300"/>
      </w:pPr>
      <w:r>
        <w:rPr>
          <w:b/>
          <w:bCs/>
          <w:color w:val="8186EF"/>
          <w:sz w:val="16"/>
          <w:szCs w:val="16"/>
        </w:rPr>
        <w:t xml:space="preserve">10  </w:t>
      </w:r>
      <w:r>
        <w:rPr>
          <w:sz w:val="16"/>
          <w:szCs w:val="16"/>
        </w:rPr>
        <w:t xml:space="preserve">IAS 36 prohibits reversal of goodwill impairment. A is wrong: Goodwill impairments are never reversed. B is wrong: No reversal is allowed for goodwill.</w:t>
      </w:r>
    </w:p>
    <w:p>
      <w:pPr>
        <w:spacing w:after="18"/>
        <w:ind w:left="300" w:hanging="300"/>
      </w:pPr>
      <w:r>
        <w:rPr>
          <w:b/>
          <w:bCs/>
          <w:color w:val="8186EF"/>
          <w:sz w:val="16"/>
          <w:szCs w:val="16"/>
        </w:rPr>
        <w:t xml:space="preserve">11  </w:t>
      </w:r>
      <w:r>
        <w:rPr>
          <w:sz w:val="16"/>
          <w:szCs w:val="16"/>
        </w:rPr>
        <w:t xml:space="preserve">IAS 36 tests assets in cash-generating units. A is wrong: A reporting unit is the U.S. goodwill level. C is wrong: A disposal group is for assets held for sale.</w:t>
      </w:r>
    </w:p>
    <w:p>
      <w:pPr>
        <w:spacing w:after="18"/>
        <w:ind w:left="300" w:hanging="300"/>
      </w:pPr>
      <w:r>
        <w:rPr>
          <w:b/>
          <w:bCs/>
          <w:color w:val="8186EF"/>
          <w:sz w:val="16"/>
          <w:szCs w:val="16"/>
        </w:rPr>
        <w:t xml:space="preserve">12  </w:t>
      </w:r>
      <w:r>
        <w:rPr>
          <w:sz w:val="16"/>
          <w:szCs w:val="16"/>
        </w:rPr>
        <w:t xml:space="preserve">This is the main intangibles difference. B is wrong: The treatments are reversed. C is wrong: Research is expensed under both.</w:t>
      </w:r>
    </w:p>
    <w:p>
      <w:pPr>
        <w:spacing w:after="18"/>
        <w:ind w:left="300" w:hanging="300"/>
      </w:pPr>
      <w:r>
        <w:rPr>
          <w:b/>
          <w:bCs/>
          <w:color w:val="8186EF"/>
          <w:sz w:val="16"/>
          <w:szCs w:val="16"/>
        </w:rPr>
        <w:t xml:space="preserve">13  </w:t>
      </w:r>
      <w:r>
        <w:rPr>
          <w:sz w:val="16"/>
          <w:szCs w:val="16"/>
        </w:rPr>
        <w:t xml:space="preserve">Recoverable amount is the higher amount, $460,000. A is wrong: IFRS has no undiscounted screen. C is wrong: This uses an average.</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15  </w:t>
      </w:r>
      <w:r>
        <w:rPr>
          <w:sz w:val="16"/>
          <w:szCs w:val="16"/>
        </w:rPr>
        <w:t xml:space="preserve">The term tables in each section are the book’s own.</w:t>
      </w:r>
    </w:p>
    <w:p>
      <w:pPr>
        <w:spacing w:after="18"/>
        <w:ind w:left="300" w:hanging="300"/>
      </w:pPr>
      <w:r>
        <w:rPr>
          <w:b/>
          <w:bCs/>
          <w:color w:val="8186EF"/>
          <w:sz w:val="16"/>
          <w:szCs w:val="16"/>
        </w:rPr>
        <w:t xml:space="preserve">16  </w:t>
      </w:r>
      <w:r>
        <w:rPr>
          <w:sz w:val="16"/>
          <w:szCs w:val="16"/>
        </w:rPr>
        <w:t xml:space="preserve">The exam marks the term, so the English word is the answer.</w:t>
      </w:r>
    </w:p>
    <w:p>
      <w:pPr>
        <w:spacing w:after="18"/>
        <w:ind w:left="300" w:hanging="300"/>
      </w:pPr>
      <w:r>
        <w:rPr>
          <w:b/>
          <w:bCs/>
          <w:color w:val="8186EF"/>
          <w:sz w:val="16"/>
          <w:szCs w:val="16"/>
        </w:rPr>
        <w:t xml:space="preserve">17  </w:t>
      </w:r>
      <w:r>
        <w:rPr>
          <w:sz w:val="16"/>
          <w:szCs w:val="16"/>
        </w:rPr>
        <w:t xml:space="preserve">Every item on a Workshop sheet is settled by something printed on the same sheet.</w:t>
      </w:r>
    </w:p>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17.4 · (iv) Leases: the lessee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depreciation · right-of-use · interest</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depreciation · right-of-use · straight-line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Orontes's · remeasures · classifies</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IFRS 16 has one lessee model: every lease is treated like a finance lease, with depreciation of the right-of-use asset plus interest. U.S. GAAP keeps two models, and an operating lease has one straight-line cost.</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“IFRS 16 has one lessee model: every lease is treated like a finance lease, with depreciation of the right-of-use asset plus interest.”</w:t>
      </w:r>
    </w:p>
    <w:p>
      <w:pPr>
        <w:spacing w:after="18"/>
        <w:ind w:left="300" w:hanging="300"/>
      </w:pPr>
      <w:r>
        <w:rPr>
          <w:b/>
          <w:bCs/>
          <w:color w:val="8186EF"/>
          <w:sz w:val="16"/>
          <w:szCs w:val="16"/>
        </w:rPr>
        <w:t xml:space="preserve">2  </w:t>
      </w:r>
      <w:r>
        <w:rPr>
          <w:sz w:val="16"/>
          <w:szCs w:val="16"/>
        </w:rPr>
        <w:t xml:space="preserve">The book writes: “IFRS 16 has one lessee model: every lease is treated like a finance lease, with depreciation of the right-of-use asset plus interest. GAAP keeps two models, and an operating lease has one straight-line cost. For Orontes's warehouse from Chapter 14, U.S.”</w:t>
      </w:r>
    </w:p>
    <w:p>
      <w:pPr>
        <w:spacing w:after="18"/>
        <w:ind w:left="300" w:hanging="300"/>
      </w:pPr>
      <w:r>
        <w:rPr>
          <w:b/>
          <w:bCs/>
          <w:color w:val="8186EF"/>
          <w:sz w:val="16"/>
          <w:szCs w:val="16"/>
        </w:rPr>
        <w:t xml:space="preserve">3  </w:t>
      </w:r>
      <w:r>
        <w:rPr>
          <w:sz w:val="16"/>
          <w:szCs w:val="16"/>
        </w:rPr>
        <w:t xml:space="preserve">The book writes: “For Orontes's warehouse from Chapter 14, U.S. Over the whole lease, total expense is the same. IFRS 16 also allows an exemption for low-value assets, remeasures the liability when an index such as CPI changes, and classifies lease principal as financing.”</w:t>
      </w:r>
    </w:p>
    <w:p>
      <w:pPr>
        <w:spacing w:after="18"/>
        <w:ind w:left="300" w:hanging="300"/>
      </w:pPr>
      <w:r>
        <w:rPr>
          <w:b/>
          <w:bCs/>
          <w:color w:val="8186EF"/>
          <w:sz w:val="16"/>
          <w:szCs w:val="16"/>
        </w:rPr>
        <w:t xml:space="preserve">4  </w:t>
      </w:r>
      <w:r>
        <w:rPr>
          <w:sz w:val="16"/>
          <w:szCs w:val="16"/>
        </w:rPr>
        <w:t xml:space="preserve">The book pairs Lessee models with “Two: finance and operating”.</w:t>
      </w:r>
    </w:p>
    <w:p>
      <w:pPr>
        <w:spacing w:after="18"/>
        <w:ind w:left="300" w:hanging="300"/>
      </w:pPr>
      <w:r>
        <w:rPr>
          <w:b/>
          <w:bCs/>
          <w:color w:val="8186EF"/>
          <w:sz w:val="16"/>
          <w:szCs w:val="16"/>
        </w:rPr>
        <w:t xml:space="preserve">5  </w:t>
      </w:r>
      <w:r>
        <w:rPr>
          <w:sz w:val="16"/>
          <w:szCs w:val="16"/>
        </w:rPr>
        <w:t xml:space="preserve">The book’s own table pairs Lessee models with “Two: finance and operating”.</w:t>
      </w:r>
    </w:p>
    <w:p>
      <w:pPr>
        <w:spacing w:after="18"/>
        <w:ind w:left="300" w:hanging="300"/>
      </w:pPr>
      <w:r>
        <w:rPr>
          <w:b/>
          <w:bCs/>
          <w:color w:val="8186EF"/>
          <w:sz w:val="16"/>
          <w:szCs w:val="16"/>
        </w:rPr>
        <w:t xml:space="preserve">6  </w:t>
      </w:r>
      <w:r>
        <w:rPr>
          <w:sz w:val="16"/>
          <w:szCs w:val="16"/>
        </w:rPr>
        <w:t xml:space="preserve">The book’s own table pairs Warehouse lease, 2026 expense (Chapter 14) with “One straight-line lease cost: 100,000”.</w:t>
      </w:r>
    </w:p>
    <w:p>
      <w:pPr>
        <w:spacing w:after="18"/>
        <w:ind w:left="300" w:hanging="300"/>
      </w:pPr>
      <w:r>
        <w:rPr>
          <w:b/>
          <w:bCs/>
          <w:color w:val="8186EF"/>
          <w:sz w:val="16"/>
          <w:szCs w:val="16"/>
        </w:rPr>
        <w:t xml:space="preserve">7  </w:t>
      </w:r>
      <w:r>
        <w:rPr>
          <w:sz w:val="16"/>
          <w:szCs w:val="16"/>
        </w:rPr>
        <w:t xml:space="preserve">The book’s own table pairs Low-value assets with “No exemption”.</w:t>
      </w:r>
    </w:p>
    <w:p>
      <w:pPr>
        <w:spacing w:after="18"/>
        <w:ind w:left="300" w:hanging="300"/>
      </w:pPr>
      <w:r>
        <w:rPr>
          <w:b/>
          <w:bCs/>
          <w:color w:val="8186EF"/>
          <w:sz w:val="16"/>
          <w:szCs w:val="16"/>
        </w:rPr>
        <w:t xml:space="preserve">8  </w:t>
      </w:r>
      <w:r>
        <w:rPr>
          <w:sz w:val="16"/>
          <w:szCs w:val="16"/>
        </w:rPr>
        <w:t xml:space="preserve">The book’s own table pairs Index-linked payments (CPI) with “Not remeasured”.</w:t>
      </w:r>
    </w:p>
    <w:p>
      <w:pPr>
        <w:spacing w:after="18"/>
        <w:ind w:left="300" w:hanging="300"/>
      </w:pPr>
      <w:r>
        <w:rPr>
          <w:b/>
          <w:bCs/>
          <w:color w:val="8186EF"/>
          <w:sz w:val="16"/>
          <w:szCs w:val="16"/>
        </w:rPr>
        <w:t xml:space="preserve">9  </w:t>
      </w:r>
      <w:r>
        <w:rPr>
          <w:sz w:val="16"/>
          <w:szCs w:val="16"/>
        </w:rPr>
        <w:t xml:space="preserve">The book pairs Lessee models with “One: all leases like finance leases”.</w:t>
      </w:r>
    </w:p>
    <w:p>
      <w:pPr>
        <w:spacing w:after="18"/>
        <w:ind w:left="300" w:hanging="300"/>
      </w:pPr>
      <w:r>
        <w:rPr>
          <w:b/>
          <w:bCs/>
          <w:color w:val="8186EF"/>
          <w:sz w:val="16"/>
          <w:szCs w:val="16"/>
        </w:rPr>
        <w:t xml:space="preserve">10  </w:t>
      </w:r>
      <w:r>
        <w:rPr>
          <w:sz w:val="16"/>
          <w:szCs w:val="16"/>
        </w:rPr>
        <w:t xml:space="preserve">The book pairs Warehouse lease, 2026 expense (Chapter 14) with “Depreciation 84,247 + interest 25,274 = 109,521”, not with “One: all leases like finance leases”.</w:t>
      </w:r>
    </w:p>
    <w:p>
      <w:pPr>
        <w:spacing w:after="18"/>
        <w:ind w:left="300" w:hanging="300"/>
      </w:pPr>
      <w:r>
        <w:rPr>
          <w:b/>
          <w:bCs/>
          <w:color w:val="8186EF"/>
          <w:sz w:val="16"/>
          <w:szCs w:val="16"/>
        </w:rPr>
        <w:t xml:space="preserve">11  </w:t>
      </w:r>
      <w:r>
        <w:rPr>
          <w:sz w:val="16"/>
          <w:szCs w:val="16"/>
        </w:rPr>
        <w:t xml:space="preserve">Compare your sentence with the book’s wording in the key.</w:t>
      </w:r>
    </w:p>
    <w:p>
      <w:pPr>
        <w:spacing w:after="18"/>
        <w:ind w:left="300" w:hanging="300"/>
      </w:pPr>
      <w:r>
        <w:rPr>
          <w:b/>
          <w:bCs/>
          <w:color w:val="8186EF"/>
          <w:sz w:val="16"/>
          <w:szCs w:val="16"/>
        </w:rPr>
        <w:t xml:space="preserve">12  </w:t>
      </w:r>
      <w:r>
        <w:rPr>
          <w:sz w:val="16"/>
          <w:szCs w:val="16"/>
        </w:rPr>
        <w:t xml:space="preserve">Every cycle settles one rule and shows where it comes from.</w:t>
      </w:r>
    </w:p>
    <w:p>
      <w:pPr>
        <w:spacing w:after="18"/>
        <w:ind w:left="300" w:hanging="300"/>
      </w:pPr>
      <w:r>
        <w:rPr>
          <w:b/>
          <w:bCs/>
          <w:color w:val="8186EF"/>
          <w:sz w:val="16"/>
          <w:szCs w:val="16"/>
        </w:rPr>
        <w:t xml:space="preserve">13  </w:t>
      </w:r>
      <w:r>
        <w:rPr>
          <w:sz w:val="16"/>
          <w:szCs w:val="16"/>
        </w:rPr>
        <w:t xml:space="preserve">CMA questions use exact terms, and one word can change the answer.</w:t>
      </w:r>
    </w:p>
    <w:p>
      <w:pPr>
        <w:spacing w:after="18"/>
        <w:ind w:left="300" w:hanging="300"/>
      </w:pPr>
      <w:r>
        <w:rPr>
          <w:b/>
          <w:bCs/>
          <w:color w:val="8186EF"/>
          <w:sz w:val="16"/>
          <w:szCs w:val="16"/>
        </w:rPr>
        <w:t xml:space="preserve">14  </w:t>
      </w:r>
      <w:r>
        <w:rPr>
          <w:sz w:val="16"/>
          <w:szCs w:val="16"/>
        </w:rPr>
        <w:t xml:space="preserve">The term tables in each section are the book’s own.</w:t>
      </w:r>
    </w:p>
    <w:p>
      <w:pPr>
        <w:spacing w:after="18"/>
        <w:ind w:left="300" w:hanging="300"/>
      </w:pPr>
      <w:r>
        <w:rPr>
          <w:b/>
          <w:bCs/>
          <w:color w:val="8186EF"/>
          <w:sz w:val="16"/>
          <w:szCs w:val="16"/>
        </w:rPr>
        <w:t xml:space="preserve">15  </w:t>
      </w:r>
      <w:r>
        <w:rPr>
          <w:sz w:val="16"/>
          <w:szCs w:val="16"/>
        </w:rPr>
        <w:t xml:space="preserve">The exam marks the term, so the English word is the answer.</w:t>
      </w:r>
    </w:p>
    <w:p>
      <w:pPr>
        <w:spacing w:after="18"/>
        <w:ind w:left="300" w:hanging="300"/>
      </w:pPr>
      <w:r>
        <w:rPr>
          <w:b/>
          <w:bCs/>
          <w:color w:val="8186EF"/>
          <w:sz w:val="16"/>
          <w:szCs w:val="16"/>
        </w:rPr>
        <w:t xml:space="preserve">16  </w:t>
      </w:r>
      <w:r>
        <w:rPr>
          <w:sz w:val="16"/>
          <w:szCs w:val="16"/>
        </w:rPr>
        <w:t xml:space="preserve">Every item on a Workshop sheet is settled by something printed on the same sheet.</w:t>
      </w:r>
    </w:p>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17.5 · (v) Long-lived assets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revaluation model · revaluation surplus</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revaluation model · revaluation surplus · component depreciation</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revaluation model · revaluation surplus · component depreciation</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revaluation model · revaluation surplus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U.S. GAAP carries property, plant and equipment at cost less depreciation. IAS 16 also allows the revaluation model for a whole class of assets: the assets are carried at fair value, and increases go to a revaluation surplus in OCI.</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IAS 16 also allows the revaluation model for a whole class of assets: the assets are carried at fair value, and increases go to a revaluation surplus in OCI.</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“GAAP carries property, plant and equipment at cost less depreciation. IAS 16 also allows the revaluation model for a whole class of assets: the assets are carried at fair value, and increases go to a revaluation surplus in OCI.”</w:t>
      </w:r>
    </w:p>
    <w:p>
      <w:pPr>
        <w:spacing w:after="18"/>
        <w:ind w:left="300" w:hanging="300"/>
      </w:pPr>
      <w:r>
        <w:rPr>
          <w:b/>
          <w:bCs/>
          <w:color w:val="8186EF"/>
          <w:sz w:val="16"/>
          <w:szCs w:val="16"/>
        </w:rPr>
        <w:t xml:space="preserve">2  </w:t>
      </w:r>
      <w:r>
        <w:rPr>
          <w:sz w:val="16"/>
          <w:szCs w:val="16"/>
        </w:rPr>
        <w:t xml:space="preserve">The book writes: “IAS 16 also allows the revaluation model for a whole class of assets: the assets are carried at fair value, and increases go to a revaluation surplus in OCI. IFRS requires component depreciation for significant parts with different lives; U.S.”</w:t>
      </w:r>
    </w:p>
    <w:p>
      <w:pPr>
        <w:spacing w:after="18"/>
        <w:ind w:left="300" w:hanging="300"/>
      </w:pPr>
      <w:r>
        <w:rPr>
          <w:b/>
          <w:bCs/>
          <w:color w:val="8186EF"/>
          <w:sz w:val="16"/>
          <w:szCs w:val="16"/>
        </w:rPr>
        <w:t xml:space="preserve">3  </w:t>
      </w:r>
      <w:r>
        <w:rPr>
          <w:sz w:val="16"/>
          <w:szCs w:val="16"/>
        </w:rPr>
        <w:t xml:space="preserve">The book writes: “GAAP carries property, plant and equipment at cost less depreciation. IAS 16 also allows the revaluation model for a whole class of assets: the assets are carried at fair value, and increases go to a revaluation surplus in OCI. IFRS requires component depreciation for significant parts with different lives; U.S.”</w:t>
      </w:r>
    </w:p>
    <w:p>
      <w:pPr>
        <w:spacing w:after="18"/>
        <w:ind w:left="300" w:hanging="300"/>
      </w:pPr>
      <w:r>
        <w:rPr>
          <w:b/>
          <w:bCs/>
          <w:color w:val="8186EF"/>
          <w:sz w:val="16"/>
          <w:szCs w:val="16"/>
        </w:rPr>
        <w:t xml:space="preserve">4  </w:t>
      </w:r>
      <w:r>
        <w:rPr>
          <w:sz w:val="16"/>
          <w:szCs w:val="16"/>
        </w:rPr>
        <w:t xml:space="preserve">The book pairs Land in Amman: cost 2,000,000, fair value 2,600,000 with “Stays at 2,000,000”.</w:t>
      </w:r>
    </w:p>
    <w:p>
      <w:pPr>
        <w:spacing w:after="18"/>
        <w:ind w:left="300" w:hanging="300"/>
      </w:pPr>
      <w:r>
        <w:rPr>
          <w:b/>
          <w:bCs/>
          <w:color w:val="8186EF"/>
          <w:sz w:val="16"/>
          <w:szCs w:val="16"/>
        </w:rPr>
        <w:t xml:space="preserve">5  </w:t>
      </w:r>
      <w:r>
        <w:rPr>
          <w:sz w:val="16"/>
          <w:szCs w:val="16"/>
        </w:rPr>
        <w:t xml:space="preserve">The book’s own table pairs Land in Amman: cost 2,000,000, fair value 2,600,000 with “Stays at 2,000,000”.</w:t>
      </w:r>
    </w:p>
    <w:p>
      <w:pPr>
        <w:spacing w:after="18"/>
        <w:ind w:left="300" w:hanging="300"/>
      </w:pPr>
      <w:r>
        <w:rPr>
          <w:b/>
          <w:bCs/>
          <w:color w:val="8186EF"/>
          <w:sz w:val="16"/>
          <w:szCs w:val="16"/>
        </w:rPr>
        <w:t xml:space="preserve">6  </w:t>
      </w:r>
      <w:r>
        <w:rPr>
          <w:sz w:val="16"/>
          <w:szCs w:val="16"/>
        </w:rPr>
        <w:t xml:space="preserve">The book’s own table pairs Component depreciation with “Allowed, not required”.</w:t>
      </w:r>
    </w:p>
    <w:p>
      <w:pPr>
        <w:spacing w:after="18"/>
        <w:ind w:left="300" w:hanging="300"/>
      </w:pPr>
      <w:r>
        <w:rPr>
          <w:b/>
          <w:bCs/>
          <w:color w:val="8186EF"/>
          <w:sz w:val="16"/>
          <w:szCs w:val="16"/>
        </w:rPr>
        <w:t xml:space="preserve">7  </w:t>
      </w:r>
      <w:r>
        <w:rPr>
          <w:sz w:val="16"/>
          <w:szCs w:val="16"/>
        </w:rPr>
        <w:t xml:space="preserve">The book’s own table pairs Review of lives and residual values with “When events suggest a change”.</w:t>
      </w:r>
    </w:p>
    <w:p>
      <w:pPr>
        <w:spacing w:after="18"/>
        <w:ind w:left="300" w:hanging="300"/>
      </w:pPr>
      <w:r>
        <w:rPr>
          <w:b/>
          <w:bCs/>
          <w:color w:val="8186EF"/>
          <w:sz w:val="16"/>
          <w:szCs w:val="16"/>
        </w:rPr>
        <w:t xml:space="preserve">8  </w:t>
      </w:r>
      <w:r>
        <w:rPr>
          <w:sz w:val="16"/>
          <w:szCs w:val="16"/>
        </w:rPr>
        <w:t xml:space="preserve">The book’s own table pairs Borrowing costs on a new plant with “Capitalized; investment income generally not offset”.</w:t>
      </w:r>
    </w:p>
    <w:p>
      <w:pPr>
        <w:spacing w:after="18"/>
        <w:ind w:left="300" w:hanging="300"/>
      </w:pPr>
      <w:r>
        <w:rPr>
          <w:b/>
          <w:bCs/>
          <w:color w:val="8186EF"/>
          <w:sz w:val="16"/>
          <w:szCs w:val="16"/>
        </w:rPr>
        <w:t xml:space="preserve">9  </w:t>
      </w:r>
      <w:r>
        <w:rPr>
          <w:sz w:val="16"/>
          <w:szCs w:val="16"/>
        </w:rPr>
        <w:t xml:space="preserve">The book pairs Land in Amman: cost 2,000,000, fair value 2,600,000 with “Revaluation model: 2,600,000; surplus 600,000 in OCI”.</w:t>
      </w:r>
    </w:p>
    <w:p>
      <w:pPr>
        <w:spacing w:after="18"/>
        <w:ind w:left="300" w:hanging="300"/>
      </w:pPr>
      <w:r>
        <w:rPr>
          <w:b/>
          <w:bCs/>
          <w:color w:val="8186EF"/>
          <w:sz w:val="16"/>
          <w:szCs w:val="16"/>
        </w:rPr>
        <w:t xml:space="preserve">10  </w:t>
      </w:r>
      <w:r>
        <w:rPr>
          <w:sz w:val="16"/>
          <w:szCs w:val="16"/>
        </w:rPr>
        <w:t xml:space="preserve">The book pairs Component depreciation with “Required for significant parts”, not with “At least every year”.</w:t>
      </w:r>
    </w:p>
    <w:p>
      <w:pPr>
        <w:spacing w:after="18"/>
        <w:ind w:left="300" w:hanging="300"/>
      </w:pPr>
      <w:r>
        <w:rPr>
          <w:b/>
          <w:bCs/>
          <w:color w:val="8186EF"/>
          <w:sz w:val="16"/>
          <w:szCs w:val="16"/>
        </w:rPr>
        <w:t xml:space="preserve">12  </w:t>
      </w:r>
      <w:r>
        <w:rPr>
          <w:sz w:val="16"/>
          <w:szCs w:val="16"/>
        </w:rPr>
        <w:t xml:space="preserve">The book gives Required for significant parts as the ifrs (ias 16, 23, 40) of Component depreciation.</w:t>
      </w:r>
    </w:p>
    <w:p>
      <w:pPr>
        <w:spacing w:after="18"/>
        <w:ind w:left="300" w:hanging="300"/>
      </w:pPr>
      <w:r>
        <w:rPr>
          <w:b/>
          <w:bCs/>
          <w:color w:val="8186EF"/>
          <w:sz w:val="16"/>
          <w:szCs w:val="16"/>
        </w:rPr>
        <w:t xml:space="preserve">13  </w:t>
      </w:r>
      <w:r>
        <w:rPr>
          <w:sz w:val="16"/>
          <w:szCs w:val="16"/>
        </w:rPr>
        <w:t xml:space="preserve">Compare your sentence with the book’s wording in the key.</w:t>
      </w:r>
    </w:p>
    <w:p>
      <w:pPr>
        <w:spacing w:after="18"/>
        <w:ind w:left="300" w:hanging="300"/>
      </w:pPr>
      <w:r>
        <w:rPr>
          <w:b/>
          <w:bCs/>
          <w:color w:val="8186EF"/>
          <w:sz w:val="16"/>
          <w:szCs w:val="16"/>
        </w:rPr>
        <w:t xml:space="preserve">14  </w:t>
      </w:r>
      <w:r>
        <w:rPr>
          <w:sz w:val="16"/>
          <w:szCs w:val="16"/>
        </w:rPr>
        <w:t xml:space="preserve">Every cycle settles one rule and shows where it comes from.</w:t>
      </w:r>
    </w:p>
    <w:p>
      <w:pPr>
        <w:spacing w:after="18"/>
        <w:ind w:left="300" w:hanging="300"/>
      </w:pPr>
      <w:r>
        <w:rPr>
          <w:b/>
          <w:bCs/>
          <w:color w:val="8186EF"/>
          <w:sz w:val="16"/>
          <w:szCs w:val="16"/>
        </w:rPr>
        <w:t xml:space="preserve">15  </w:t>
      </w:r>
      <w:r>
        <w:rPr>
          <w:sz w:val="16"/>
          <w:szCs w:val="16"/>
        </w:rPr>
        <w:t xml:space="preserve">CMA questions use exact terms, and one word can change the answer.</w:t>
      </w:r>
    </w:p>
    <w:p>
      <w:pPr>
        <w:spacing w:after="18"/>
        <w:ind w:left="300" w:hanging="300"/>
      </w:pPr>
      <w:r>
        <w:rPr>
          <w:b/>
          <w:bCs/>
          <w:color w:val="8186EF"/>
          <w:sz w:val="16"/>
          <w:szCs w:val="16"/>
        </w:rPr>
        <w:t xml:space="preserve">16  </w:t>
      </w:r>
      <w:r>
        <w:rPr>
          <w:sz w:val="16"/>
          <w:szCs w:val="16"/>
        </w:rPr>
        <w:t xml:space="preserve">The term tables in each section are the book’s own.</w:t>
      </w:r>
    </w:p>
    <w:p>
      <w:pPr>
        <w:spacing w:after="18"/>
        <w:ind w:left="300" w:hanging="300"/>
      </w:pPr>
      <w:r>
        <w:rPr>
          <w:b/>
          <w:bCs/>
          <w:color w:val="8186EF"/>
          <w:sz w:val="16"/>
          <w:szCs w:val="16"/>
        </w:rPr>
        <w:t xml:space="preserve">17  </w:t>
      </w:r>
      <w:r>
        <w:rPr>
          <w:sz w:val="16"/>
          <w:szCs w:val="16"/>
        </w:rPr>
        <w:t xml:space="preserve">The exam marks the term, so the English word is the answer.</w:t>
      </w:r>
    </w:p>
    <w:p>
      <w:pPr>
        <w:spacing w:after="18"/>
        <w:ind w:left="300" w:hanging="300"/>
      </w:pPr>
      <w:r>
        <w:rPr>
          <w:b/>
          <w:bCs/>
          <w:color w:val="8186EF"/>
          <w:sz w:val="16"/>
          <w:szCs w:val="16"/>
        </w:rPr>
        <w:t xml:space="preserve">18  </w:t>
      </w:r>
      <w:r>
        <w:rPr>
          <w:sz w:val="16"/>
          <w:szCs w:val="16"/>
        </w:rPr>
        <w:t xml:space="preserve">Every item on a Workshop sheet is settled by something printed on the same sheet.</w:t>
      </w:r>
    </w:p>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17.6 · (vi) Impairment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cash-generating unit · recoverable amount · fair value less costs of disposal · value in use</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cash-generating unit · recoverable amount · fair value less costs of disposal · value in use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cash-generating unit · recoverable amount · fair value less costs of disposal · value in use</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U.S. GAAP tests a held-and-used asset group in two steps. First, it compares the carrying amount with undiscounted future cash flows. Only if the carrying amount is higher does it measure a loss, equal to the carrying amount minus fair value.</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“Only if the carrying amount is higher does it measure a loss, equal to the carrying amount minus fair value. It compares the carrying amount of an asset or cash-generating unit with its recoverable amount: the higher of fair value less costs of disposal and value in use, a discounted cash-flow measure.”</w:t>
      </w:r>
    </w:p>
    <w:p>
      <w:pPr>
        <w:spacing w:after="18"/>
        <w:ind w:left="300" w:hanging="300"/>
      </w:pPr>
      <w:r>
        <w:rPr>
          <w:b/>
          <w:bCs/>
          <w:color w:val="8186EF"/>
          <w:sz w:val="16"/>
          <w:szCs w:val="16"/>
        </w:rPr>
        <w:t xml:space="preserve">2  </w:t>
      </w:r>
      <w:r>
        <w:rPr>
          <w:sz w:val="16"/>
          <w:szCs w:val="16"/>
        </w:rPr>
        <w:t xml:space="preserve">The book writes: “It compares the carrying amount of an asset or cash-generating unit with its recoverable amount: the higher of fair value less costs of disposal and value in use, a discounted cash-flow measure. Because there is no undiscounted screen, IFRS losses often come earlier.”</w:t>
      </w:r>
    </w:p>
    <w:p>
      <w:pPr>
        <w:spacing w:after="18"/>
        <w:ind w:left="300" w:hanging="300"/>
      </w:pPr>
      <w:r>
        <w:rPr>
          <w:b/>
          <w:bCs/>
          <w:color w:val="8186EF"/>
          <w:sz w:val="16"/>
          <w:szCs w:val="16"/>
        </w:rPr>
        <w:t xml:space="preserve">3  </w:t>
      </w:r>
      <w:r>
        <w:rPr>
          <w:sz w:val="16"/>
          <w:szCs w:val="16"/>
        </w:rPr>
        <w:t xml:space="preserve">The book writes: “It compares the carrying amount of an asset or cash-generating unit with its recoverable amount: the higher of fair value less costs of disposal and value in use, a discounted cash-flow measure. Because there is no undiscounted screen, IFRS losses often come earlier. The frameworks also differ after the loss.”</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“(ii) Intangible assets” as section 17.2.</w:t>
      </w:r>
    </w:p>
    <w:p>
      <w:pPr>
        <w:spacing w:after="18"/>
        <w:ind w:left="300" w:hanging="300"/>
      </w:pPr>
      <w:r>
        <w:rPr>
          <w:b/>
          <w:bCs/>
          <w:color w:val="8186EF"/>
          <w:sz w:val="16"/>
          <w:szCs w:val="16"/>
        </w:rPr>
        <w:t xml:space="preserve">6  </w:t>
      </w:r>
      <w:r>
        <w:rPr>
          <w:sz w:val="16"/>
          <w:szCs w:val="16"/>
        </w:rPr>
        <w:t xml:space="preserve">The book numbers “(iii) Inventories” as section 17.3.</w:t>
      </w:r>
    </w:p>
    <w:p>
      <w:pPr>
        <w:spacing w:after="18"/>
        <w:ind w:left="300" w:hanging="300"/>
      </w:pPr>
      <w:r>
        <w:rPr>
          <w:b/>
          <w:bCs/>
          <w:color w:val="8186EF"/>
          <w:sz w:val="16"/>
          <w:szCs w:val="16"/>
        </w:rPr>
        <w:t xml:space="preserve">7  </w:t>
      </w:r>
      <w:r>
        <w:rPr>
          <w:sz w:val="16"/>
          <w:szCs w:val="16"/>
        </w:rPr>
        <w:t xml:space="preserve">The book numbers “(iv) Leases: the lessee” as section 17.4.</w:t>
      </w:r>
    </w:p>
    <w:p>
      <w:pPr>
        <w:spacing w:after="18"/>
        <w:ind w:left="300" w:hanging="300"/>
      </w:pPr>
      <w:r>
        <w:rPr>
          <w:b/>
          <w:bCs/>
          <w:color w:val="8186EF"/>
          <w:sz w:val="16"/>
          <w:szCs w:val="16"/>
        </w:rPr>
        <w:t xml:space="preserve">8  </w:t>
      </w:r>
      <w:r>
        <w:rPr>
          <w:sz w:val="16"/>
          <w:szCs w:val="16"/>
        </w:rPr>
        <w:t xml:space="preserve">The book numbers “(v) Long-lived assets” as section 17.5.</w:t>
      </w:r>
    </w:p>
    <w:p>
      <w:pPr>
        <w:spacing w:after="18"/>
        <w:ind w:left="300" w:hanging="300"/>
      </w:pPr>
      <w:r>
        <w:rPr>
          <w:b/>
          <w:bCs/>
          <w:color w:val="8186EF"/>
          <w:sz w:val="16"/>
          <w:szCs w:val="16"/>
        </w:rPr>
        <w:t xml:space="preserve">9  </w:t>
      </w:r>
      <w:r>
        <w:rPr>
          <w:sz w:val="16"/>
          <w:szCs w:val="16"/>
        </w:rPr>
        <w:t xml:space="preserve">Compare your sentence with the book’s wording in the key.</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12  </w:t>
      </w:r>
      <w:r>
        <w:rPr>
          <w:sz w:val="16"/>
          <w:szCs w:val="16"/>
        </w:rPr>
        <w:t xml:space="preserve">The book’s own table pairs LIFO is permitted with “U.S. GAAP only”.</w:t>
      </w:r>
    </w:p>
    <w:p>
      <w:pPr>
        <w:spacing w:after="18"/>
        <w:ind w:left="300" w:hanging="300"/>
      </w:pPr>
      <w:r>
        <w:rPr>
          <w:b/>
          <w:bCs/>
          <w:color w:val="8186EF"/>
          <w:sz w:val="16"/>
          <w:szCs w:val="16"/>
        </w:rPr>
        <w:t xml:space="preserve">13  </w:t>
      </w:r>
      <w:r>
        <w:rPr>
          <w:sz w:val="16"/>
          <w:szCs w:val="16"/>
        </w:rPr>
        <w:t xml:space="preserve">The book’s own table pairs Inventory write-downs are reversed when NRV recovers with “IFRS only”.</w:t>
      </w:r>
    </w:p>
    <w:p>
      <w:pPr>
        <w:spacing w:after="18"/>
        <w:ind w:left="300" w:hanging="300"/>
      </w:pPr>
      <w:r>
        <w:rPr>
          <w:b/>
          <w:bCs/>
          <w:color w:val="8186EF"/>
          <w:sz w:val="16"/>
          <w:szCs w:val="16"/>
        </w:rPr>
        <w:t xml:space="preserve">14  </w:t>
      </w:r>
      <w:r>
        <w:rPr>
          <w:sz w:val="16"/>
          <w:szCs w:val="16"/>
        </w:rPr>
        <w:t xml:space="preserve">The book’s own table pairs Development costs are capitalized when criteria are met with “________”.</w:t>
      </w:r>
    </w:p>
    <w:p>
      <w:pPr>
        <w:spacing w:after="18"/>
        <w:ind w:left="300" w:hanging="300"/>
      </w:pPr>
      <w:r>
        <w:rPr>
          <w:b/>
          <w:bCs/>
          <w:color w:val="8186EF"/>
          <w:sz w:val="16"/>
          <w:szCs w:val="16"/>
        </w:rPr>
        <w:t xml:space="preserve">15  </w:t>
      </w:r>
      <w:r>
        <w:rPr>
          <w:sz w:val="16"/>
          <w:szCs w:val="16"/>
        </w:rPr>
        <w:t xml:space="preserve">The exam marks the term, so the English word is the answer.</w:t>
      </w:r>
    </w:p>
    <w:p>
      <w:pPr>
        <w:spacing w:after="18"/>
        <w:ind w:left="300" w:hanging="300"/>
      </w:pPr>
      <w:r>
        <w:rPr>
          <w:b/>
          <w:bCs/>
          <w:color w:val="8186EF"/>
          <w:sz w:val="16"/>
          <w:szCs w:val="16"/>
        </w:rPr>
        <w:t xml:space="preserve">16  </w:t>
      </w:r>
      <w:r>
        <w:rPr>
          <w:sz w:val="16"/>
          <w:szCs w:val="16"/>
        </w:rPr>
        <w:t xml:space="preserve">Every item on a Workshop sheet is settled by something printed on the same sheet.</w:t>
      </w:r>
    </w:p>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17.7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defined benefit plan · remeasurements</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cash-generating unit · recoverable amount · fair value less costs of disposal · value in use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cash-generating unit · recoverable amount · fair value less costs of disposal · value in use</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17.1: (i) Share-based payments and employee benefits. 17.2: (ii) Intangible assets. 17.3: (iii) Inventories. 17.4: (iv) Leases: the lessee. 17.5: (v) Long-lived assets. 17.6: (vi) Impairment.</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“GAAP, but accrued over the vesting period under IFRS. For a defined benefit plan, both frameworks put remeasurements in OCI. GAAP later amortizes them into net income; IAS 19 never reclassifies them. Share-based payments and employee benefits: U.S.”</w:t>
      </w:r>
    </w:p>
    <w:p>
      <w:pPr>
        <w:spacing w:after="18"/>
        <w:ind w:left="300" w:hanging="300"/>
      </w:pPr>
      <w:r>
        <w:rPr>
          <w:b/>
          <w:bCs/>
          <w:color w:val="8186EF"/>
          <w:sz w:val="16"/>
          <w:szCs w:val="16"/>
        </w:rPr>
        <w:t xml:space="preserve">2  </w:t>
      </w:r>
      <w:r>
        <w:rPr>
          <w:sz w:val="16"/>
          <w:szCs w:val="16"/>
        </w:rPr>
        <w:t xml:space="preserve">The book writes: “It compares the carrying amount of an asset or cash-generating unit with its recoverable amount: the higher of fair value less costs of disposal and value in use, a discounted cash-flow measure. Because there is no undiscounted screen, IFRS losses often come earlier.”</w:t>
      </w:r>
    </w:p>
    <w:p>
      <w:pPr>
        <w:spacing w:after="18"/>
        <w:ind w:left="300" w:hanging="300"/>
      </w:pPr>
      <w:r>
        <w:rPr>
          <w:b/>
          <w:bCs/>
          <w:color w:val="8186EF"/>
          <w:sz w:val="16"/>
          <w:szCs w:val="16"/>
        </w:rPr>
        <w:t xml:space="preserve">3  </w:t>
      </w:r>
      <w:r>
        <w:rPr>
          <w:sz w:val="16"/>
          <w:szCs w:val="16"/>
        </w:rPr>
        <w:t xml:space="preserve">The book writes: “Only if the carrying amount is higher does it measure a loss, equal to the carrying amount minus fair value. It compares the carrying amount of an asset or cash-generating unit with its recoverable amount: the higher of fair value less costs of disposal and value in use, a discounted cash-flow measure.”</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“(ii) Intangible assets” as section 17.2.</w:t>
      </w:r>
    </w:p>
    <w:p>
      <w:pPr>
        <w:spacing w:after="18"/>
        <w:ind w:left="300" w:hanging="300"/>
      </w:pPr>
      <w:r>
        <w:rPr>
          <w:b/>
          <w:bCs/>
          <w:color w:val="8186EF"/>
          <w:sz w:val="16"/>
          <w:szCs w:val="16"/>
        </w:rPr>
        <w:t xml:space="preserve">6  </w:t>
      </w:r>
      <w:r>
        <w:rPr>
          <w:sz w:val="16"/>
          <w:szCs w:val="16"/>
        </w:rPr>
        <w:t xml:space="preserve">The book numbers “(iii) Inventories” as section 17.3.</w:t>
      </w:r>
    </w:p>
    <w:p>
      <w:pPr>
        <w:spacing w:after="18"/>
        <w:ind w:left="300" w:hanging="300"/>
      </w:pPr>
      <w:r>
        <w:rPr>
          <w:b/>
          <w:bCs/>
          <w:color w:val="8186EF"/>
          <w:sz w:val="16"/>
          <w:szCs w:val="16"/>
        </w:rPr>
        <w:t xml:space="preserve">13  </w:t>
      </w:r>
      <w:r>
        <w:rPr>
          <w:sz w:val="16"/>
          <w:szCs w:val="16"/>
        </w:rPr>
        <w:t xml:space="preserve">IAS 2 prohibits LIFO. B is wrong: The conformity rule is a U.S. tax rule; IFRS still prohibits LIFO. C is wrong: LIFO is prohibited for all inventory.</w:t>
      </w:r>
    </w:p>
    <w:p>
      <w:pPr>
        <w:spacing w:after="18"/>
        <w:ind w:left="300" w:hanging="300"/>
      </w:pPr>
      <w:r>
        <w:rPr>
          <w:b/>
          <w:bCs/>
          <w:color w:val="8186EF"/>
          <w:sz w:val="16"/>
          <w:szCs w:val="16"/>
        </w:rPr>
        <w:t xml:space="preserve">14  </w:t>
      </w:r>
      <w:r>
        <w:rPr>
          <w:sz w:val="16"/>
          <w:szCs w:val="16"/>
        </w:rPr>
        <w:t xml:space="preserve">Depreciation $84,247 + interest $25,274. A is wrong: Depreciation must be added. B is wrong: Interest must be added.</w:t>
      </w:r>
    </w:p>
    <w:p>
      <w:pPr>
        <w:spacing w:after="18"/>
        <w:ind w:left="300" w:hanging="300"/>
      </w:pPr>
      <w:r>
        <w:rPr>
          <w:b/>
          <w:bCs/>
          <w:color w:val="8186EF"/>
          <w:sz w:val="16"/>
          <w:szCs w:val="16"/>
        </w:rPr>
        <w:t xml:space="preserve">15  </w:t>
      </w:r>
      <w:r>
        <w:rPr>
          <w:sz w:val="16"/>
          <w:szCs w:val="16"/>
        </w:rPr>
        <w:t xml:space="preserve">Only IFRS 16 has the low-value exemption. A is wrong: Both frameworks have the short-term exemption. B is wrong: Both frameworks recognize ROU assets.</w:t>
      </w:r>
    </w:p>
    <w:p>
      <w:pPr>
        <w:spacing w:after="18"/>
        <w:ind w:left="300" w:hanging="300"/>
      </w:pPr>
      <w:r>
        <w:rPr>
          <w:b/>
          <w:bCs/>
          <w:color w:val="8186EF"/>
          <w:sz w:val="16"/>
          <w:szCs w:val="16"/>
        </w:rPr>
        <w:t xml:space="preserve">16  </w:t>
      </w:r>
      <w:r>
        <w:rPr>
          <w:sz w:val="16"/>
          <w:szCs w:val="16"/>
        </w:rPr>
        <w:t xml:space="preserve">Upward revaluations go to OCI under IAS 16. A is wrong: Revaluation gains are not in profit (unless reversing an earlier loss). B is wrong: This is the U.S. GAAP treatment.</w:t>
      </w:r>
    </w:p>
    <w:p>
      <w:pPr>
        <w:spacing w:after="18"/>
        <w:ind w:left="300" w:hanging="300"/>
      </w:pPr>
      <w:r>
        <w:rPr>
          <w:b/>
          <w:bCs/>
          <w:color w:val="8186EF"/>
          <w:sz w:val="16"/>
          <w:szCs w:val="16"/>
        </w:rPr>
        <w:t xml:space="preserve">17  </w:t>
      </w:r>
      <w:r>
        <w:rPr>
          <w:sz w:val="16"/>
          <w:szCs w:val="16"/>
        </w:rPr>
        <w:t xml:space="preserve">Component depreciation is required by IAS 16. B is wrong: The rule is reversed. C is wrong: Both allow it; IFRS requires it.</w:t>
      </w:r>
    </w:p>
    <w:p>
      <w:pPr>
        <w:spacing w:after="18"/>
        <w:ind w:left="300" w:hanging="300"/>
      </w:pPr>
      <w:r>
        <w:rPr>
          <w:b/>
          <w:bCs/>
          <w:color w:val="8186EF"/>
          <w:sz w:val="16"/>
          <w:szCs w:val="16"/>
        </w:rPr>
        <w:t xml:space="preserve">18  </w:t>
      </w:r>
      <w:r>
        <w:rPr>
          <w:sz w:val="16"/>
          <w:szCs w:val="16"/>
        </w:rPr>
        <w:t xml:space="preserve">IAS 19 expenses it at once; U.S. GAAP amortizes it from OCI. A is wrong: The treatments are reversed. B is wrong: U.S. GAAP does not expense it at once.</w:t>
      </w:r>
    </w:p>
    <w:p>
      <w:pPr>
        <w:spacing w:after="18"/>
        <w:ind w:left="300" w:hanging="300"/>
      </w:pPr>
      <w:r>
        <w:rPr>
          <w:b/>
          <w:bCs/>
          <w:color w:val="8186EF"/>
          <w:sz w:val="16"/>
          <w:szCs w:val="16"/>
        </w:rPr>
        <w:t xml:space="preserve">19  </w:t>
      </w:r>
      <w:r>
        <w:rPr>
          <w:sz w:val="16"/>
          <w:szCs w:val="16"/>
        </w:rPr>
        <w:t xml:space="preserve">Every later answer depends on the adjusted exhibit.</w:t>
      </w:r>
    </w:p>
    <w:p>
      <w:pPr>
        <w:spacing w:after="18"/>
        <w:ind w:left="300" w:hanging="300"/>
      </w:pPr>
      <w:r>
        <w:rPr>
          <w:b/>
          <w:bCs/>
          <w:color w:val="8186EF"/>
          <w:sz w:val="16"/>
          <w:szCs w:val="16"/>
        </w:rPr>
        <w:t xml:space="preserve">20  </w:t>
      </w:r>
      <w:r>
        <w:rPr>
          <w:sz w:val="16"/>
          <w:szCs w:val="16"/>
        </w:rPr>
        <w:t xml:space="preserve">The book states item C17-1 in those words.</w:t>
      </w:r>
    </w:p>
    <w:p>
      <w:pPr>
        <w:spacing w:after="18"/>
        <w:ind w:left="300" w:hanging="300"/>
      </w:pPr>
      <w:r>
        <w:rPr>
          <w:b/>
          <w:bCs/>
          <w:color w:val="8186EF"/>
          <w:sz w:val="16"/>
          <w:szCs w:val="16"/>
        </w:rPr>
        <w:t xml:space="preserve">21  </w:t>
      </w:r>
      <w:r>
        <w:rPr>
          <w:sz w:val="16"/>
          <w:szCs w:val="16"/>
        </w:rPr>
        <w:t xml:space="preserve">The book states item C17-2 in those words.</w:t>
      </w:r>
    </w:p>
    <w:p>
      <w:pPr>
        <w:spacing w:after="18"/>
        <w:ind w:left="300" w:hanging="300"/>
      </w:pPr>
      <w:r>
        <w:rPr>
          <w:b/>
          <w:bCs/>
          <w:color w:val="8186EF"/>
          <w:sz w:val="16"/>
          <w:szCs w:val="16"/>
        </w:rPr>
        <w:t xml:space="preserve">22  </w:t>
      </w:r>
      <w:r>
        <w:rPr>
          <w:sz w:val="16"/>
          <w:szCs w:val="16"/>
        </w:rPr>
        <w:t xml:space="preserve">The book states item C17-3 in those words.</w:t>
      </w:r>
    </w:p>
    <w:p>
      <w:pPr>
        <w:spacing w:after="18"/>
        <w:ind w:left="300" w:hanging="300"/>
      </w:pPr>
      <w:r>
        <w:rPr>
          <w:b/>
          <w:bCs/>
          <w:color w:val="8186EF"/>
          <w:sz w:val="16"/>
          <w:szCs w:val="16"/>
        </w:rPr>
        <w:t xml:space="preserve">23  </w:t>
      </w:r>
      <w:r>
        <w:rPr>
          <w:sz w:val="16"/>
          <w:szCs w:val="16"/>
        </w:rPr>
        <w:t xml:space="preserve">The book states item C17-4 in those words.</w:t>
      </w:r>
    </w:p>
    <w:p>
      <w:pPr>
        <w:spacing w:after="18"/>
        <w:ind w:left="300" w:hanging="300"/>
      </w:pPr>
      <w:r>
        <w:rPr>
          <w:b/>
          <w:bCs/>
          <w:color w:val="8186EF"/>
          <w:sz w:val="16"/>
          <w:szCs w:val="16"/>
        </w:rPr>
        <w:t xml:space="preserve">24  </w:t>
      </w:r>
      <w:r>
        <w:rPr>
          <w:sz w:val="16"/>
          <w:szCs w:val="16"/>
        </w:rPr>
        <w:t xml:space="preserve">The book states item C17-5 in those words.</w:t>
      </w:r>
    </w:p>
    <w:p>
      <w:pPr>
        <w:spacing w:after="18"/>
        <w:ind w:left="300" w:hanging="300"/>
      </w:pPr>
      <w:r>
        <w:rPr>
          <w:b/>
          <w:bCs/>
          <w:color w:val="8186EF"/>
          <w:sz w:val="16"/>
          <w:szCs w:val="16"/>
        </w:rPr>
        <w:t xml:space="preserve">25  </w:t>
      </w:r>
      <w:r>
        <w:rPr>
          <w:sz w:val="16"/>
          <w:szCs w:val="16"/>
        </w:rPr>
        <w:t xml:space="preserve">The book states item C17-6 in those words.</w:t>
      </w:r>
    </w:p>
    <w:p>
      <w:pPr>
        <w:spacing w:after="18"/>
        <w:ind w:left="300" w:hanging="300"/>
      </w:pPr>
      <w:r>
        <w:rPr>
          <w:b/>
          <w:bCs/>
          <w:color w:val="8186EF"/>
          <w:sz w:val="16"/>
          <w:szCs w:val="16"/>
        </w:rPr>
        <w:t xml:space="preserve">26  </w:t>
      </w:r>
      <w:r>
        <w:rPr>
          <w:sz w:val="16"/>
          <w:szCs w:val="16"/>
        </w:rPr>
        <w:t xml:space="preserve">IAS 19 expenses it at once; U.S. GAAP amortizes it from OCI. A is wrong: The treatments are reversed. B is wrong: U.S. GAAP does not expense it at once.</w:t>
      </w:r>
    </w:p>
    <w:p/>
    <w:p>
      <w:pPr>
        <w:sectPr>
          <w:headerReference w:type="default" r:id="rIdHdr7"/>
          <w:pgSz w:w="11906" w:h="16838" w:orient="portrait"/>
          <w:pgMar w:top="1180" w:right="1000" w:bottom="900" w:left="1000" w:header="708" w:footer="708" w:gutter="0"/>
          <w:docGrid w:linePitch="360"/>
          <w:pgNumType w:start="1"/>
        </w:sectPr>
      </w:pPr>
    </w:p>
    <w:sectPr>
      <w:headerReference w:type="default" r:id="rIdHdr7"/>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17.1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17.2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17.3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17.4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17.5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17.6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17.7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17 — answer keys</dc:title>
  <dc:subject>U.S. GAAP and IFRS: The Six Tested Differences</dc:subject>
  <cp:category>Student Book</cp:category>
</cp:coreProperties>
</file>