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17.1</w:t>
      </w:r>
    </w:p>
    <w:p>
      <w:pPr>
        <w:spacing w:after="8"/>
      </w:pPr>
      <w:r>
        <w:rPr>
          <w:color w:val="23265A"/>
          <w:sz w:val="22"/>
          <w:szCs w:val="22"/>
        </w:rPr>
        <w:t xml:space="preserve">(i) Share-based payments and employee benefits</w:t>
      </w:r>
    </w:p>
    <w:p>
      <w:pPr>
        <w:spacing w:after="130"/>
      </w:pPr>
      <w:r>
        <w:rPr>
          <w:color w:val="6B7280"/>
          <w:sz w:val="20"/>
          <w:szCs w:val="20"/>
        </w:rPr>
        <w:t xml:space="preserve">section 17.1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38"/>
        <w:gridCol w:w="3051"/>
        <w:gridCol w:w="41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7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8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4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70"/>
            <w:tcMar>
              <w:top w:type="dxa" w:w="50"/>
              <w:left w:type="dxa" w:w="110"/>
              <w:bottom w:type="dxa" w:w="50"/>
              <w:right w:type="dxa" w:w="110"/>
            </w:tcMar>
          </w:tcPr>
          <w:p>
            <w:pPr>
              <w:spacing w:before="26" w:after="26"/>
            </w:pPr>
            <w:r>
              <w:rPr>
                <w:color w:val="232733"/>
                <w:sz w:val="16"/>
                <w:szCs w:val="16"/>
              </w:rPr>
              <w:t xml:space="preserve">(i) Share-based payments and employee benefits</w:t>
            </w:r>
          </w:p>
        </w:tc>
        <w:tc>
          <w:tcPr>
            <w:tcW w:type="pct" w:w="1589"/>
            <w:tcMar>
              <w:top w:type="dxa" w:w="50"/>
              <w:left w:type="dxa" w:w="110"/>
              <w:bottom w:type="dxa" w:w="50"/>
              <w:right w:type="dxa" w:w="110"/>
            </w:tcMar>
          </w:tcPr>
          <w:p>
            <w:pPr>
              <w:spacing w:before="26" w:after="26"/>
            </w:pPr>
            <w:r>
              <w:rPr>
                <w:color w:val="232733"/>
                <w:sz w:val="16"/>
                <w:szCs w:val="16"/>
              </w:rPr>
              <w:t xml:space="preserve">a figure to read · Topic · the book’s own rule, gapped</w:t>
            </w:r>
          </w:p>
        </w:tc>
        <w:tc>
          <w:tcPr>
            <w:tcW w:type="pct" w:w="2141"/>
            <w:tcMar>
              <w:top w:type="dxa" w:w="50"/>
              <w:left w:type="dxa" w:w="110"/>
              <w:bottom w:type="dxa" w:w="50"/>
              <w:right w:type="dxa" w:w="110"/>
            </w:tcMar>
          </w:tcPr>
          <w:p>
            <w:pPr>
              <w:spacing w:before="26" w:after="26"/>
            </w:pPr>
            <w:r>
              <w:rPr>
                <w:color w:val="232733"/>
                <w:sz w:val="16"/>
                <w:szCs w:val="16"/>
              </w:rPr>
              <w:t xml:space="preserve">Under IAS 19, what happens to actuarial losses recognized in OCI?</w:t>
            </w:r>
          </w:p>
        </w:tc>
      </w:tr>
      <w:tr>
        <w:tc>
          <w:tcPr>
            <w:tcW w:type="pct" w:w="127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89"/>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214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prior service cost   ·   component depreciation   ·   defined benefit plan   ·   remeasurements</w:t>
      </w:r>
    </w:p>
    <w:p>
      <w:pPr>
        <w:spacing w:before="36" w:after="36"/>
        <w:ind w:left="300"/>
      </w:pPr>
      <w:r>
        <w:rPr>
          <w:sz w:val="19"/>
          <w:szCs w:val="19"/>
        </w:rPr>
        <w:t xml:space="preserve">GAAP, but accrued over the vesting period under IFRS. 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 GAAP later amortizes them into net income; IAS 19 never reclassifies them. Share-based payments and employee benefits: U.S.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remeasurements   ·   defined benefit plan   ·   prior service cost   ·   component depreciation</w:t>
      </w:r>
    </w:p>
    <w:p>
      <w:pPr>
        <w:spacing w:before="36" w:after="36"/>
        <w:ind w:left="300"/>
      </w:pPr>
      <w:r>
        <w:rPr>
          <w:sz w:val="19"/>
          <w:szCs w:val="19"/>
        </w:rPr>
        <w:t xml:space="preserve">Employer payroll taxes on share awards are recognized when the tax obligation arises under U.S. GAAP, but accrued over the vesting period under IFRS. 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remeasurements   ·   defined benefit plan   ·   prior service cost</w:t>
      </w:r>
    </w:p>
    <w:p>
      <w:pPr>
        <w:spacing w:before="36" w:after="36"/>
        <w:ind w:left="300"/>
      </w:pPr>
      <w:r>
        <w:rPr>
          <w:sz w:val="19"/>
          <w:szCs w:val="19"/>
        </w:rPr>
        <w:t xml:space="preserve">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 GAAP later amortizes them into net income; IAS 19 never reclassifies them. Share-based payments and employee benefits: U.S. SC17-2 A company grants share options that vest one third each year for three years (service condition only).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 Share-based payments and employee benefits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U.S. GAAP (ASC 718, 715) of Graded vesting (service condition) as “Choice: straight-line over the whole period or tranche by tranche”.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“Choice: straight-line over the whole period or tranche by tranche”?</w:t>
      </w:r>
    </w:p>
    <w:p>
      <w:pPr>
        <w:spacing w:after="18"/>
        <w:ind w:left="560" w:hanging="260"/>
      </w:pPr>
      <w:r>
        <w:rPr>
          <w:b/>
          <w:bCs/>
          <w:color w:val="8186EF"/>
          <w:sz w:val="18"/>
          <w:szCs w:val="18"/>
        </w:rPr>
        <w:t xml:space="preserve">A. </w:t>
      </w:r>
      <w:r>
        <w:rPr>
          <w:sz w:val="18"/>
          <w:szCs w:val="18"/>
        </w:rPr>
        <w:t xml:space="preserve">Employer payroll taxes on awards</w:t>
      </w:r>
    </w:p>
    <w:p>
      <w:pPr>
        <w:spacing w:after="18"/>
        <w:ind w:left="560" w:hanging="260"/>
      </w:pPr>
      <w:r>
        <w:rPr>
          <w:b/>
          <w:bCs/>
          <w:color w:val="8186EF"/>
          <w:sz w:val="18"/>
          <w:szCs w:val="18"/>
        </w:rPr>
        <w:t xml:space="preserve">B. </w:t>
      </w:r>
      <w:r>
        <w:rPr>
          <w:sz w:val="18"/>
          <w:szCs w:val="18"/>
        </w:rPr>
        <w:t xml:space="preserve">Prior service cost: Orontes amendment of 50,000</w:t>
      </w:r>
    </w:p>
    <w:p>
      <w:pPr>
        <w:spacing w:after="18"/>
        <w:ind w:left="560" w:hanging="260"/>
      </w:pPr>
      <w:r>
        <w:rPr>
          <w:b/>
          <w:bCs/>
          <w:color w:val="8186EF"/>
          <w:sz w:val="18"/>
          <w:szCs w:val="18"/>
        </w:rPr>
        <w:t xml:space="preserve">C. </w:t>
      </w:r>
      <w:r>
        <w:rPr>
          <w:sz w:val="18"/>
          <w:szCs w:val="18"/>
        </w:rPr>
        <w:t xml:space="preserve">Return on plan assets</w:t>
      </w:r>
    </w:p>
    <w:p>
      <w:pPr>
        <w:spacing w:after="18"/>
        <w:ind w:left="560" w:hanging="260"/>
      </w:pPr>
      <w:r>
        <w:rPr>
          <w:b/>
          <w:bCs/>
          <w:color w:val="8186EF"/>
          <w:sz w:val="18"/>
          <w:szCs w:val="18"/>
        </w:rPr>
        <w:t xml:space="preserve">D. </w:t>
      </w:r>
      <w:r>
        <w:rPr>
          <w:sz w:val="18"/>
          <w:szCs w:val="18"/>
        </w:rPr>
        <w:t xml:space="preserve">Graded vesting (service condition)</w:t>
      </w:r>
    </w:p>
    <w:p>
      <w:pPr>
        <w:spacing w:before="40" w:after="16"/>
        <w:ind w:left="300" w:hanging="300"/>
      </w:pPr>
      <w:r>
        <w:rPr>
          <w:b/>
          <w:bCs/>
          <w:color w:val="353A7C"/>
          <w:sz w:val="19"/>
          <w:szCs w:val="19"/>
        </w:rPr>
        <w:t xml:space="preserve">6.  </w:t>
      </w:r>
      <w:r>
        <w:rPr>
          <w:sz w:val="19"/>
          <w:szCs w:val="19"/>
        </w:rPr>
        <w:t xml:space="preserve">Which topic does the book pair with “Policy choice: estimate or record as they occur”?</w:t>
      </w:r>
    </w:p>
    <w:p>
      <w:pPr>
        <w:spacing w:after="18"/>
        <w:ind w:left="560" w:hanging="260"/>
      </w:pPr>
      <w:r>
        <w:rPr>
          <w:b/>
          <w:bCs/>
          <w:color w:val="8186EF"/>
          <w:sz w:val="18"/>
          <w:szCs w:val="18"/>
        </w:rPr>
        <w:t xml:space="preserve">A. </w:t>
      </w:r>
      <w:r>
        <w:rPr>
          <w:sz w:val="18"/>
          <w:szCs w:val="18"/>
        </w:rPr>
        <w:t xml:space="preserve">Forfeitures</w:t>
      </w:r>
    </w:p>
    <w:p>
      <w:pPr>
        <w:spacing w:after="18"/>
        <w:ind w:left="560" w:hanging="260"/>
      </w:pPr>
      <w:r>
        <w:rPr>
          <w:b/>
          <w:bCs/>
          <w:color w:val="8186EF"/>
          <w:sz w:val="18"/>
          <w:szCs w:val="18"/>
        </w:rPr>
        <w:t xml:space="preserve">B. </w:t>
      </w:r>
      <w:r>
        <w:rPr>
          <w:sz w:val="18"/>
          <w:szCs w:val="18"/>
        </w:rPr>
        <w:t xml:space="preserve">Employer payroll taxes on awards</w:t>
      </w:r>
    </w:p>
    <w:p>
      <w:pPr>
        <w:spacing w:after="18"/>
        <w:ind w:left="560" w:hanging="260"/>
      </w:pPr>
      <w:r>
        <w:rPr>
          <w:b/>
          <w:bCs/>
          <w:color w:val="8186EF"/>
          <w:sz w:val="18"/>
          <w:szCs w:val="18"/>
        </w:rPr>
        <w:t xml:space="preserve">C. </w:t>
      </w:r>
      <w:r>
        <w:rPr>
          <w:sz w:val="18"/>
          <w:szCs w:val="18"/>
        </w:rPr>
        <w:t xml:space="preserve">Pension remeasurements (actuarial gains and losses)</w:t>
      </w:r>
    </w:p>
    <w:p>
      <w:pPr>
        <w:spacing w:after="18"/>
        <w:ind w:left="560" w:hanging="260"/>
      </w:pPr>
      <w:r>
        <w:rPr>
          <w:b/>
          <w:bCs/>
          <w:color w:val="8186EF"/>
          <w:sz w:val="18"/>
          <w:szCs w:val="18"/>
        </w:rPr>
        <w:t xml:space="preserve">D. </w:t>
      </w:r>
      <w:r>
        <w:rPr>
          <w:sz w:val="18"/>
          <w:szCs w:val="18"/>
        </w:rPr>
        <w:t xml:space="preserve">Prior service cost: Orontes amendment of 50,000</w:t>
      </w:r>
    </w:p>
    <w:p>
      <w:pPr>
        <w:spacing w:before="40" w:after="16"/>
        <w:ind w:left="300" w:hanging="300"/>
      </w:pPr>
      <w:r>
        <w:rPr>
          <w:b/>
          <w:bCs/>
          <w:color w:val="353A7C"/>
          <w:sz w:val="19"/>
          <w:szCs w:val="19"/>
        </w:rPr>
        <w:t xml:space="preserve">7.  </w:t>
      </w:r>
      <w:r>
        <w:rPr>
          <w:sz w:val="19"/>
          <w:szCs w:val="19"/>
        </w:rPr>
        <w:t xml:space="preserve">Which topic does the book pair with “When the tax obligation arises (exercise or vesting)”?</w:t>
      </w:r>
    </w:p>
    <w:p>
      <w:pPr>
        <w:spacing w:after="18"/>
        <w:ind w:left="560" w:hanging="260"/>
      </w:pPr>
      <w:r>
        <w:rPr>
          <w:b/>
          <w:bCs/>
          <w:color w:val="8186EF"/>
          <w:sz w:val="18"/>
          <w:szCs w:val="18"/>
        </w:rPr>
        <w:t xml:space="preserve">A. </w:t>
      </w:r>
      <w:r>
        <w:rPr>
          <w:sz w:val="18"/>
          <w:szCs w:val="18"/>
        </w:rPr>
        <w:t xml:space="preserve">Prior service cost: Orontes amendment of 50,000</w:t>
      </w:r>
    </w:p>
    <w:p>
      <w:pPr>
        <w:spacing w:after="18"/>
        <w:ind w:left="560" w:hanging="260"/>
      </w:pPr>
      <w:r>
        <w:rPr>
          <w:b/>
          <w:bCs/>
          <w:color w:val="8186EF"/>
          <w:sz w:val="18"/>
          <w:szCs w:val="18"/>
        </w:rPr>
        <w:t xml:space="preserve">B. </w:t>
      </w:r>
      <w:r>
        <w:rPr>
          <w:sz w:val="18"/>
          <w:szCs w:val="18"/>
        </w:rPr>
        <w:t xml:space="preserve">Employer payroll taxes on awards</w:t>
      </w:r>
    </w:p>
    <w:p>
      <w:pPr>
        <w:spacing w:after="18"/>
        <w:ind w:left="560" w:hanging="260"/>
      </w:pPr>
      <w:r>
        <w:rPr>
          <w:b/>
          <w:bCs/>
          <w:color w:val="8186EF"/>
          <w:sz w:val="18"/>
          <w:szCs w:val="18"/>
        </w:rPr>
        <w:t xml:space="preserve">C. </w:t>
      </w:r>
      <w:r>
        <w:rPr>
          <w:sz w:val="18"/>
          <w:szCs w:val="18"/>
        </w:rPr>
        <w:t xml:space="preserve">Forfeitures</w:t>
      </w:r>
    </w:p>
    <w:p>
      <w:pPr>
        <w:spacing w:after="18"/>
        <w:ind w:left="560" w:hanging="260"/>
      </w:pPr>
      <w:r>
        <w:rPr>
          <w:b/>
          <w:bCs/>
          <w:color w:val="8186EF"/>
          <w:sz w:val="18"/>
          <w:szCs w:val="18"/>
        </w:rPr>
        <w:t xml:space="preserve">D. </w:t>
      </w:r>
      <w:r>
        <w:rPr>
          <w:sz w:val="18"/>
          <w:szCs w:val="18"/>
        </w:rPr>
        <w:t xml:space="preserve">Graded vesting (service condition)</w:t>
      </w:r>
    </w:p>
    <w:p>
      <w:pPr>
        <w:spacing w:before="40" w:after="16"/>
        <w:ind w:left="300" w:hanging="300"/>
      </w:pPr>
      <w:r>
        <w:rPr>
          <w:b/>
          <w:bCs/>
          <w:color w:val="353A7C"/>
          <w:sz w:val="19"/>
          <w:szCs w:val="19"/>
        </w:rPr>
        <w:t xml:space="preserve">8.  </w:t>
      </w:r>
      <w:r>
        <w:rPr>
          <w:sz w:val="19"/>
          <w:szCs w:val="19"/>
        </w:rPr>
        <w:t xml:space="preserve">Which topic does the book pair with “OCI, then amortized into net income (corridor)”?</w:t>
      </w:r>
    </w:p>
    <w:p>
      <w:pPr>
        <w:spacing w:after="18"/>
        <w:ind w:left="560" w:hanging="260"/>
      </w:pPr>
      <w:r>
        <w:rPr>
          <w:b/>
          <w:bCs/>
          <w:color w:val="8186EF"/>
          <w:sz w:val="18"/>
          <w:szCs w:val="18"/>
        </w:rPr>
        <w:t xml:space="preserve">A. </w:t>
      </w:r>
      <w:r>
        <w:rPr>
          <w:sz w:val="18"/>
          <w:szCs w:val="18"/>
        </w:rPr>
        <w:t xml:space="preserve">Graded vesting (service condition)</w:t>
      </w:r>
    </w:p>
    <w:p>
      <w:pPr>
        <w:spacing w:after="18"/>
        <w:ind w:left="560" w:hanging="260"/>
      </w:pPr>
      <w:r>
        <w:rPr>
          <w:b/>
          <w:bCs/>
          <w:color w:val="8186EF"/>
          <w:sz w:val="18"/>
          <w:szCs w:val="18"/>
        </w:rPr>
        <w:t xml:space="preserve">B. </w:t>
      </w:r>
      <w:r>
        <w:rPr>
          <w:sz w:val="18"/>
          <w:szCs w:val="18"/>
        </w:rPr>
        <w:t xml:space="preserve">Forfeitures</w:t>
      </w:r>
    </w:p>
    <w:p>
      <w:pPr>
        <w:spacing w:after="18"/>
        <w:ind w:left="560" w:hanging="260"/>
      </w:pPr>
      <w:r>
        <w:rPr>
          <w:b/>
          <w:bCs/>
          <w:color w:val="8186EF"/>
          <w:sz w:val="18"/>
          <w:szCs w:val="18"/>
        </w:rPr>
        <w:t xml:space="preserve">C. </w:t>
      </w:r>
      <w:r>
        <w:rPr>
          <w:sz w:val="18"/>
          <w:szCs w:val="18"/>
        </w:rPr>
        <w:t xml:space="preserve">Pension remeasurements (actuarial gains and losses)</w:t>
      </w:r>
    </w:p>
    <w:p>
      <w:pPr>
        <w:spacing w:after="18"/>
        <w:ind w:left="560" w:hanging="260"/>
      </w:pPr>
      <w:r>
        <w:rPr>
          <w:b/>
          <w:bCs/>
          <w:color w:val="8186EF"/>
          <w:sz w:val="18"/>
          <w:szCs w:val="18"/>
        </w:rPr>
        <w:t xml:space="preserve">D. </w:t>
      </w:r>
      <w:r>
        <w:rPr>
          <w:sz w:val="18"/>
          <w:szCs w:val="18"/>
        </w:rPr>
        <w:t xml:space="preserve">Return on plan assets</w:t>
      </w:r>
    </w:p>
    <w:p>
      <w:pPr>
        <w:spacing w:before="30" w:after="30"/>
        <w:ind w:left="300" w:hanging="300"/>
      </w:pPr>
      <w:r>
        <w:rPr>
          <w:b/>
          <w:bCs/>
          <w:color w:val="353A7C"/>
          <w:sz w:val="19"/>
          <w:szCs w:val="19"/>
        </w:rPr>
        <w:t xml:space="preserve">9.  </w:t>
      </w:r>
      <w:r>
        <w:rPr>
          <w:sz w:val="19"/>
          <w:szCs w:val="19"/>
        </w:rPr>
        <w:t xml:space="preserve">The book gives the IFRS (IFRS 2, IAS 19) of Graded vesting (service condition) as “Tranche by tranche”.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IFRS (IFRS 2, IAS 19) of Forfeitures as “Net interest at the discount rate”.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remeasurements  ·  revaluation model  ·  revaluation surplus  ·  defined benefit plan</w:t>
            </w:r>
          </w:p>
          <w:p>
            <w:pPr>
              <w:spacing w:before="26" w:after="26"/>
              <w:ind w:left="200"/>
            </w:pPr>
            <w:r>
              <w:rPr>
                <w:sz w:val="19"/>
                <w:szCs w:val="19"/>
              </w:rPr>
              <w:t xml:space="preserve">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Graded vesting (service condition)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Forfeitures</w:t>
            </w:r>
          </w:p>
        </w:tc>
      </w:tr>
      <w:tr>
        <w:tc>
          <w:tcPr>
            <w:tcW w:type="pct" w:w="2500"/>
            <w:tcMar>
              <w:top w:type="dxa" w:w="50"/>
              <w:left w:type="dxa" w:w="110"/>
              <w:bottom w:type="dxa" w:w="50"/>
              <w:right w:type="dxa" w:w="110"/>
            </w:tcMar>
          </w:tcPr>
          <w:p>
            <w:pPr>
              <w:spacing w:before="26" w:after="26"/>
            </w:pPr>
            <w:r>
              <w:rPr>
                <w:sz w:val="16"/>
                <w:szCs w:val="16"/>
              </w:rPr>
              <w:t xml:space="preserve">U.S. GAAP (ASC 718, 715): Choice: straight-line over the whole period or tranche by tranche</w:t>
            </w:r>
          </w:p>
        </w:tc>
        <w:tc>
          <w:tcPr>
            <w:tcW w:type="pct" w:w="2500"/>
            <w:tcMar>
              <w:top w:type="dxa" w:w="50"/>
              <w:left w:type="dxa" w:w="110"/>
              <w:bottom w:type="dxa" w:w="50"/>
              <w:right w:type="dxa" w:w="110"/>
            </w:tcMar>
          </w:tcPr>
          <w:p>
            <w:pPr>
              <w:spacing w:before="26" w:after="26"/>
            </w:pPr>
            <w:r>
              <w:rPr>
                <w:sz w:val="16"/>
                <w:szCs w:val="16"/>
              </w:rPr>
              <w:t xml:space="preserve">U.S. GAAP (ASC 718, 715): Policy choice: estimate or record as they occur</w:t>
            </w:r>
          </w:p>
        </w:tc>
      </w:tr>
    </w:tbl>
    <w:p>
      <w:pPr>
        <w:spacing w:before="36" w:after="16"/>
      </w:pPr>
      <w:r>
        <w:rPr>
          <w:sz w:val="18"/>
          <w:szCs w:val="18"/>
        </w:rPr>
        <w:t xml:space="preserve">Only the facts above differ. What is the ifrs (ifrs 2, ias 19) of Graded vesting (service condition)?</w:t>
      </w:r>
    </w:p>
    <w:p>
      <w:pPr>
        <w:spacing w:before="40" w:after="16"/>
        <w:ind w:left="300" w:hanging="300"/>
      </w:pPr>
      <w:r>
        <w:rPr>
          <w:b/>
          <w:bCs/>
          <w:color w:val="353A7C"/>
          <w:sz w:val="19"/>
          <w:szCs w:val="19"/>
        </w:rPr>
        <w:t xml:space="preserve">12.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Estimate</w:t>
      </w:r>
    </w:p>
    <w:p>
      <w:pPr>
        <w:spacing w:after="18"/>
        <w:ind w:left="560" w:hanging="260"/>
      </w:pPr>
      <w:r>
        <w:rPr>
          <w:b/>
          <w:bCs/>
          <w:color w:val="8186EF"/>
          <w:sz w:val="18"/>
          <w:szCs w:val="18"/>
        </w:rPr>
        <w:t xml:space="preserve">B. </w:t>
      </w:r>
      <w:r>
        <w:rPr>
          <w:sz w:val="18"/>
          <w:szCs w:val="18"/>
        </w:rPr>
        <w:t xml:space="preserve">Accrued over the vesting period</w:t>
      </w:r>
    </w:p>
    <w:p>
      <w:pPr>
        <w:spacing w:after="18"/>
        <w:ind w:left="560" w:hanging="260"/>
      </w:pPr>
      <w:r>
        <w:rPr>
          <w:b/>
          <w:bCs/>
          <w:color w:val="8186EF"/>
          <w:sz w:val="18"/>
          <w:szCs w:val="18"/>
        </w:rPr>
        <w:t xml:space="preserve">C. </w:t>
      </w:r>
      <w:r>
        <w:rPr>
          <w:sz w:val="18"/>
          <w:szCs w:val="18"/>
        </w:rPr>
        <w:t xml:space="preserve">OCI, never reclassified to profit</w:t>
      </w:r>
    </w:p>
    <w:p>
      <w:pPr>
        <w:spacing w:after="18"/>
        <w:ind w:left="560" w:hanging="260"/>
      </w:pPr>
      <w:r>
        <w:rPr>
          <w:b/>
          <w:bCs/>
          <w:color w:val="8186EF"/>
          <w:sz w:val="18"/>
          <w:szCs w:val="18"/>
        </w:rPr>
        <w:t xml:space="preserve">D. </w:t>
      </w:r>
      <w:r>
        <w:rPr>
          <w:sz w:val="18"/>
          <w:szCs w:val="18"/>
        </w:rPr>
        <w:t xml:space="preserve">Tranche by tranche</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IAS 19, what happens to actuarial losses recognized in OCI?</w:t>
      </w:r>
    </w:p>
    <w:p>
      <w:pPr>
        <w:spacing w:after="18"/>
        <w:ind w:left="560" w:hanging="260"/>
      </w:pPr>
      <w:r>
        <w:rPr>
          <w:b/>
          <w:bCs/>
          <w:color w:val="8186EF"/>
          <w:sz w:val="18"/>
          <w:szCs w:val="18"/>
        </w:rPr>
        <w:t xml:space="preserve">A. </w:t>
      </w:r>
      <w:r>
        <w:rPr>
          <w:sz w:val="18"/>
          <w:szCs w:val="18"/>
        </w:rPr>
        <w:t xml:space="preserve">They are amortized into profit over future service</w:t>
      </w:r>
    </w:p>
    <w:p>
      <w:pPr>
        <w:spacing w:after="18"/>
        <w:ind w:left="560" w:hanging="260"/>
      </w:pPr>
      <w:r>
        <w:rPr>
          <w:b/>
          <w:bCs/>
          <w:color w:val="8186EF"/>
          <w:sz w:val="18"/>
          <w:szCs w:val="18"/>
        </w:rPr>
        <w:t xml:space="preserve">B. </w:t>
      </w:r>
      <w:r>
        <w:rPr>
          <w:sz w:val="18"/>
          <w:szCs w:val="18"/>
        </w:rPr>
        <w:t xml:space="preserve">They are recognized in profit when the plan is settled</w:t>
      </w:r>
    </w:p>
    <w:p>
      <w:pPr>
        <w:spacing w:after="18"/>
        <w:ind w:left="560" w:hanging="260"/>
      </w:pPr>
      <w:r>
        <w:rPr>
          <w:b/>
          <w:bCs/>
          <w:color w:val="8186EF"/>
          <w:sz w:val="18"/>
          <w:szCs w:val="18"/>
        </w:rPr>
        <w:t xml:space="preserve">C. </w:t>
      </w:r>
      <w:r>
        <w:rPr>
          <w:sz w:val="18"/>
          <w:szCs w:val="18"/>
        </w:rPr>
        <w:t xml:space="preserve">They are never reclassified to profit or loss</w:t>
      </w:r>
    </w:p>
    <w:p>
      <w:pPr>
        <w:spacing w:after="18"/>
        <w:ind w:left="560" w:hanging="260"/>
      </w:pPr>
      <w:r>
        <w:rPr>
          <w:b/>
          <w:bCs/>
          <w:color w:val="8186EF"/>
          <w:sz w:val="18"/>
          <w:szCs w:val="18"/>
        </w:rPr>
        <w:t xml:space="preserve">D. </w:t>
      </w:r>
      <w:r>
        <w:rPr>
          <w:sz w:val="18"/>
          <w:szCs w:val="18"/>
        </w:rPr>
        <w:t xml:space="preserve">They are reversed the next year</w:t>
      </w:r>
    </w:p>
    <w:p>
      <w:pPr>
        <w:spacing w:before="40" w:after="16"/>
        <w:ind w:left="300" w:hanging="300"/>
      </w:pPr>
      <w:r>
        <w:rPr>
          <w:b/>
          <w:bCs/>
          <w:color w:val="353A7C"/>
          <w:sz w:val="19"/>
          <w:szCs w:val="19"/>
        </w:rPr>
        <w:t xml:space="preserve">14.  </w:t>
      </w:r>
      <w:r>
        <w:rPr>
          <w:sz w:val="19"/>
          <w:szCs w:val="19"/>
        </w:rPr>
        <w:t xml:space="preserve">Under U.S. GAAP, which return on plan assets reduces pension cost?</w:t>
      </w:r>
    </w:p>
    <w:p>
      <w:pPr>
        <w:spacing w:after="18"/>
        <w:ind w:left="560" w:hanging="260"/>
      </w:pPr>
      <w:r>
        <w:rPr>
          <w:b/>
          <w:bCs/>
          <w:color w:val="8186EF"/>
          <w:sz w:val="18"/>
          <w:szCs w:val="18"/>
        </w:rPr>
        <w:t xml:space="preserve">A. </w:t>
      </w:r>
      <w:r>
        <w:rPr>
          <w:sz w:val="18"/>
          <w:szCs w:val="18"/>
        </w:rPr>
        <w:t xml:space="preserve">Interest at the discount rate on plan assets</w:t>
      </w:r>
    </w:p>
    <w:p>
      <w:pPr>
        <w:spacing w:after="18"/>
        <w:ind w:left="560" w:hanging="260"/>
      </w:pPr>
      <w:r>
        <w:rPr>
          <w:b/>
          <w:bCs/>
          <w:color w:val="8186EF"/>
          <w:sz w:val="18"/>
          <w:szCs w:val="18"/>
        </w:rPr>
        <w:t xml:space="preserve">B. </w:t>
      </w:r>
      <w:r>
        <w:rPr>
          <w:sz w:val="18"/>
          <w:szCs w:val="18"/>
        </w:rPr>
        <w:t xml:space="preserve">The actual return</w:t>
      </w:r>
    </w:p>
    <w:p>
      <w:pPr>
        <w:spacing w:after="18"/>
        <w:ind w:left="560" w:hanging="260"/>
      </w:pPr>
      <w:r>
        <w:rPr>
          <w:b/>
          <w:bCs/>
          <w:color w:val="8186EF"/>
          <w:sz w:val="18"/>
          <w:szCs w:val="18"/>
        </w:rPr>
        <w:t xml:space="preserve">C. </w:t>
      </w:r>
      <w:r>
        <w:rPr>
          <w:sz w:val="18"/>
          <w:szCs w:val="18"/>
        </w:rPr>
        <w:t xml:space="preserve">No return is used</w:t>
      </w:r>
    </w:p>
    <w:p>
      <w:pPr>
        <w:spacing w:after="18"/>
        <w:ind w:left="560" w:hanging="260"/>
      </w:pPr>
      <w:r>
        <w:rPr>
          <w:b/>
          <w:bCs/>
          <w:color w:val="8186EF"/>
          <w:sz w:val="18"/>
          <w:szCs w:val="18"/>
        </w:rPr>
        <w:t xml:space="preserve">D. </w:t>
      </w:r>
      <w:r>
        <w:rPr>
          <w:sz w:val="18"/>
          <w:szCs w:val="18"/>
        </w:rPr>
        <w:t xml:space="preserve">The expected return on plan assets</w:t>
      </w:r>
    </w:p>
    <w:p>
      <w:pPr>
        <w:spacing w:before="40" w:after="16"/>
        <w:ind w:left="300" w:hanging="300"/>
      </w:pPr>
      <w:r>
        <w:rPr>
          <w:b/>
          <w:bCs/>
          <w:color w:val="353A7C"/>
          <w:sz w:val="19"/>
          <w:szCs w:val="19"/>
        </w:rPr>
        <w:t xml:space="preserve">15.  </w:t>
      </w:r>
      <w:r>
        <w:rPr>
          <w:sz w:val="19"/>
          <w:szCs w:val="19"/>
        </w:rPr>
        <w:t xml:space="preserve">Employer payroll taxes on stock options: when does a U.S. company recognize the liability?</w:t>
      </w:r>
    </w:p>
    <w:p>
      <w:pPr>
        <w:spacing w:after="18"/>
        <w:ind w:left="560" w:hanging="260"/>
      </w:pPr>
      <w:r>
        <w:rPr>
          <w:b/>
          <w:bCs/>
          <w:color w:val="8186EF"/>
          <w:sz w:val="18"/>
          <w:szCs w:val="18"/>
        </w:rPr>
        <w:t xml:space="preserve">A. </w:t>
      </w:r>
      <w:r>
        <w:rPr>
          <w:sz w:val="18"/>
          <w:szCs w:val="18"/>
        </w:rPr>
        <w:t xml:space="preserve">Evenly over the vesting period</w:t>
      </w:r>
    </w:p>
    <w:p>
      <w:pPr>
        <w:spacing w:after="18"/>
        <w:ind w:left="560" w:hanging="260"/>
      </w:pPr>
      <w:r>
        <w:rPr>
          <w:b/>
          <w:bCs/>
          <w:color w:val="8186EF"/>
          <w:sz w:val="18"/>
          <w:szCs w:val="18"/>
        </w:rPr>
        <w:t xml:space="preserve">B. </w:t>
      </w:r>
      <w:r>
        <w:rPr>
          <w:sz w:val="18"/>
          <w:szCs w:val="18"/>
        </w:rPr>
        <w:t xml:space="preserve">When the tax obligation arises, usually at exercise or vesting</w:t>
      </w:r>
    </w:p>
    <w:p>
      <w:pPr>
        <w:spacing w:after="18"/>
        <w:ind w:left="560" w:hanging="260"/>
      </w:pPr>
      <w:r>
        <w:rPr>
          <w:b/>
          <w:bCs/>
          <w:color w:val="8186EF"/>
          <w:sz w:val="18"/>
          <w:szCs w:val="18"/>
        </w:rPr>
        <w:t xml:space="preserve">C. </w:t>
      </w:r>
      <w:r>
        <w:rPr>
          <w:sz w:val="18"/>
          <w:szCs w:val="18"/>
        </w:rPr>
        <w:t xml:space="preserve">At grant date</w:t>
      </w:r>
    </w:p>
    <w:p>
      <w:pPr>
        <w:spacing w:after="18"/>
        <w:ind w:left="560" w:hanging="260"/>
      </w:pPr>
      <w:r>
        <w:rPr>
          <w:b/>
          <w:bCs/>
          <w:color w:val="8186EF"/>
          <w:sz w:val="18"/>
          <w:szCs w:val="18"/>
        </w:rPr>
        <w:t xml:space="preserve">D. </w:t>
      </w:r>
      <w:r>
        <w:rPr>
          <w:sz w:val="18"/>
          <w:szCs w:val="18"/>
        </w:rPr>
        <w:t xml:space="preserve">Never; it is an employee cost</w:t>
      </w:r>
    </w:p>
    <w:p>
      <w:pPr>
        <w:spacing w:before="40" w:after="16"/>
        <w:ind w:left="300" w:hanging="300"/>
      </w:pPr>
      <w:r>
        <w:rPr>
          <w:b/>
          <w:bCs/>
          <w:color w:val="353A7C"/>
          <w:sz w:val="19"/>
          <w:szCs w:val="19"/>
        </w:rPr>
        <w:t xml:space="preserve">16.  </w:t>
      </w:r>
      <w:r>
        <w:rPr>
          <w:sz w:val="19"/>
          <w:szCs w:val="19"/>
        </w:rPr>
        <w:t xml:space="preserve">Which intangible is recognized under BOTH frameworks?</w:t>
      </w:r>
    </w:p>
    <w:p>
      <w:pPr>
        <w:spacing w:after="18"/>
        <w:ind w:left="560" w:hanging="260"/>
      </w:pPr>
      <w:r>
        <w:rPr>
          <w:b/>
          <w:bCs/>
          <w:color w:val="8186EF"/>
          <w:sz w:val="18"/>
          <w:szCs w:val="18"/>
        </w:rPr>
        <w:t xml:space="preserve">A. </w:t>
      </w:r>
      <w:r>
        <w:rPr>
          <w:sz w:val="18"/>
          <w:szCs w:val="18"/>
        </w:rPr>
        <w:t xml:space="preserve">A patent bought from another company</w:t>
      </w:r>
    </w:p>
    <w:p>
      <w:pPr>
        <w:spacing w:after="18"/>
        <w:ind w:left="560" w:hanging="260"/>
      </w:pPr>
      <w:r>
        <w:rPr>
          <w:b/>
          <w:bCs/>
          <w:color w:val="8186EF"/>
          <w:sz w:val="18"/>
          <w:szCs w:val="18"/>
        </w:rPr>
        <w:t xml:space="preserve">B. </w:t>
      </w:r>
      <w:r>
        <w:rPr>
          <w:sz w:val="18"/>
          <w:szCs w:val="18"/>
        </w:rPr>
        <w:t xml:space="preserve">An internally generated brand</w:t>
      </w:r>
    </w:p>
    <w:p>
      <w:pPr>
        <w:spacing w:after="18"/>
        <w:ind w:left="560" w:hanging="260"/>
      </w:pPr>
      <w:r>
        <w:rPr>
          <w:b/>
          <w:bCs/>
          <w:color w:val="8186EF"/>
          <w:sz w:val="18"/>
          <w:szCs w:val="18"/>
        </w:rPr>
        <w:t xml:space="preserve">C. </w:t>
      </w:r>
      <w:r>
        <w:rPr>
          <w:sz w:val="18"/>
          <w:szCs w:val="18"/>
        </w:rPr>
        <w:t xml:space="preserve">Development costs of a new recipe under U.S. GAAP</w:t>
      </w:r>
    </w:p>
    <w:p>
      <w:pPr>
        <w:spacing w:after="18"/>
        <w:ind w:left="560" w:hanging="260"/>
      </w:pPr>
      <w:r>
        <w:rPr>
          <w:b/>
          <w:bCs/>
          <w:color w:val="8186EF"/>
          <w:sz w:val="18"/>
          <w:szCs w:val="18"/>
        </w:rPr>
        <w:t xml:space="preserve">D. </w:t>
      </w:r>
      <w:r>
        <w:rPr>
          <w:sz w:val="18"/>
          <w:szCs w:val="18"/>
        </w:rPr>
        <w:t xml:space="preserve">An internally built customer list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Under IAS 19, what happens to actuarial losses recognized in OCI?</w:t>
            </w:r>
          </w:p>
          <w:p>
            <w:pPr>
              <w:spacing w:after="16"/>
              <w:ind w:left="500" w:hanging="200"/>
            </w:pPr>
            <w:r>
              <w:rPr>
                <w:b/>
                <w:bCs/>
                <w:color w:val="8186EF"/>
                <w:sz w:val="18"/>
                <w:szCs w:val="18"/>
              </w:rPr>
              <w:t xml:space="preserve">A. </w:t>
            </w:r>
            <w:r>
              <w:rPr>
                <w:sz w:val="18"/>
                <w:szCs w:val="18"/>
              </w:rPr>
              <w:t xml:space="preserve">They are amortized into profit over future service</w:t>
            </w:r>
          </w:p>
          <w:p>
            <w:pPr>
              <w:spacing w:after="16"/>
              <w:ind w:left="500" w:hanging="200"/>
            </w:pPr>
            <w:r>
              <w:rPr>
                <w:b/>
                <w:bCs/>
                <w:color w:val="8186EF"/>
                <w:sz w:val="18"/>
                <w:szCs w:val="18"/>
              </w:rPr>
              <w:t xml:space="preserve">B. </w:t>
            </w:r>
            <w:r>
              <w:rPr>
                <w:sz w:val="18"/>
                <w:szCs w:val="18"/>
              </w:rPr>
              <w:t xml:space="preserve">They are recognized in profit when the plan is settled</w:t>
            </w:r>
          </w:p>
          <w:p>
            <w:pPr>
              <w:spacing w:after="16"/>
              <w:ind w:left="500" w:hanging="200"/>
            </w:pPr>
            <w:r>
              <w:rPr>
                <w:b/>
                <w:bCs/>
                <w:color w:val="8186EF"/>
                <w:sz w:val="18"/>
                <w:szCs w:val="18"/>
              </w:rPr>
              <w:t xml:space="preserve">C. </w:t>
            </w:r>
            <w:r>
              <w:rPr>
                <w:sz w:val="18"/>
                <w:szCs w:val="18"/>
              </w:rPr>
              <w:t xml:space="preserve">They are never reclassified to profit or loss</w:t>
            </w:r>
          </w:p>
          <w:p>
            <w:pPr>
              <w:spacing w:after="16"/>
              <w:ind w:left="500" w:hanging="200"/>
            </w:pPr>
            <w:r>
              <w:rPr>
                <w:b/>
                <w:bCs/>
                <w:color w:val="8186EF"/>
                <w:sz w:val="18"/>
                <w:szCs w:val="18"/>
              </w:rPr>
              <w:t xml:space="preserve">D. </w:t>
            </w:r>
            <w:r>
              <w:rPr>
                <w:sz w:val="18"/>
                <w:szCs w:val="18"/>
              </w:rPr>
              <w:t xml:space="preserve">They are reversed the next year</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L1 Development costs</w:t>
            </w:r>
          </w:p>
        </w:tc>
        <w:tc>
          <w:tcPr>
            <w:tcW w:type="pct" w:w="2600"/>
            <w:tcMar>
              <w:top w:type="dxa" w:w="50"/>
              <w:left w:type="dxa" w:w="110"/>
              <w:bottom w:type="dxa" w:w="50"/>
              <w:right w:type="dxa" w:w="110"/>
            </w:tcMar>
          </w:tcPr>
          <w:p>
            <w:pPr>
              <w:spacing w:before="26" w:after="26"/>
            </w:pPr>
            <w:r>
              <w:rPr>
                <w:color w:val="232733"/>
                <w:sz w:val="16"/>
                <w:szCs w:val="16"/>
              </w:rPr>
              <w:t xml:space="preserve">Lowers U.S. net income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L2 Write-down reversal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Lowers U.S. net income</w:t>
            </w:r>
          </w:p>
        </w:tc>
      </w:tr>
      <w:tr>
        <w:tc>
          <w:tcPr>
            <w:tcW w:type="pct" w:w="2400"/>
            <w:tcMar>
              <w:top w:type="dxa" w:w="50"/>
              <w:left w:type="dxa" w:w="110"/>
              <w:bottom w:type="dxa" w:w="50"/>
              <w:right w:type="dxa" w:w="110"/>
            </w:tcMar>
          </w:tcPr>
          <w:p>
            <w:pPr>
              <w:spacing w:before="26" w:after="26"/>
            </w:pPr>
            <w:r>
              <w:rPr>
                <w:color w:val="232733"/>
                <w:sz w:val="16"/>
                <w:szCs w:val="16"/>
              </w:rPr>
              <w:t xml:space="preserve">L3 Land revaluation</w:t>
            </w:r>
          </w:p>
        </w:tc>
        <w:tc>
          <w:tcPr>
            <w:tcW w:type="pct" w:w="2600"/>
            <w:tcMar>
              <w:top w:type="dxa" w:w="50"/>
              <w:left w:type="dxa" w:w="110"/>
              <w:bottom w:type="dxa" w:w="50"/>
              <w:right w:type="dxa" w:w="110"/>
            </w:tcMar>
          </w:tcPr>
          <w:p>
            <w:pPr>
              <w:spacing w:before="26" w:after="26"/>
            </w:pPr>
            <w:r>
              <w:rPr>
                <w:color w:val="232733"/>
                <w:sz w:val="16"/>
                <w:szCs w:val="16"/>
              </w:rPr>
              <w:t xml:space="preserve">No effect on net income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L4 Fleet impairment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Raises U.S. net income</w:t>
            </w:r>
          </w:p>
        </w:tc>
      </w:tr>
      <w:tr>
        <w:tc>
          <w:tcPr>
            <w:tcW w:type="pct" w:w="2400"/>
            <w:tcMar>
              <w:top w:type="dxa" w:w="50"/>
              <w:left w:type="dxa" w:w="110"/>
              <w:bottom w:type="dxa" w:w="50"/>
              <w:right w:type="dxa" w:w="110"/>
            </w:tcMar>
          </w:tcPr>
          <w:p>
            <w:pPr>
              <w:spacing w:before="26" w:after="26"/>
            </w:pPr>
            <w:r>
              <w:rPr>
                <w:color w:val="232733"/>
                <w:sz w:val="16"/>
                <w:szCs w:val="16"/>
              </w:rPr>
              <w:t xml:space="preserve">L5 Truck lease</w:t>
            </w:r>
          </w:p>
        </w:tc>
        <w:tc>
          <w:tcPr>
            <w:tcW w:type="pct" w:w="2600"/>
            <w:tcMar>
              <w:top w:type="dxa" w:w="50"/>
              <w:left w:type="dxa" w:w="110"/>
              <w:bottom w:type="dxa" w:w="50"/>
              <w:right w:type="dxa" w:w="110"/>
            </w:tcMar>
          </w:tcPr>
          <w:p>
            <w:pPr>
              <w:spacing w:before="26" w:after="26"/>
            </w:pPr>
            <w:r>
              <w:rPr>
                <w:color w:val="232733"/>
                <w:sz w:val="16"/>
                <w:szCs w:val="16"/>
              </w:rPr>
              <w:t xml:space="preserve">Raises U.S. net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5"/>
        <w:gridCol w:w="49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3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30"/>
            <w:tcMar>
              <w:top w:type="dxa" w:w="50"/>
              <w:left w:type="dxa" w:w="110"/>
              <w:bottom w:type="dxa" w:w="50"/>
              <w:right w:type="dxa" w:w="110"/>
            </w:tcMar>
          </w:tcPr>
          <w:p>
            <w:pPr>
              <w:spacing w:before="26" w:after="26"/>
            </w:pPr>
            <w:r>
              <w:rPr>
                <w:color w:val="232733"/>
                <w:sz w:val="16"/>
                <w:szCs w:val="16"/>
              </w:rPr>
              <w:t xml:space="preserve">revaluation model</w:t>
            </w:r>
          </w:p>
        </w:tc>
        <w:tc>
          <w:tcPr>
            <w:tcW w:type="pct" w:w="257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430"/>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570"/>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43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70"/>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category does the book give for L1 Development costs?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Raises U.S.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 on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20.  </w:t>
      </w:r>
      <w:r>
        <w:rPr>
          <w:sz w:val="19"/>
          <w:szCs w:val="19"/>
        </w:rPr>
        <w:t xml:space="preserve">Which category does the book give for L2 Write-down reversal?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Raises U.S.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 on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21.  </w:t>
      </w:r>
      <w:r>
        <w:rPr>
          <w:sz w:val="19"/>
          <w:szCs w:val="19"/>
        </w:rPr>
        <w:t xml:space="preserve">Which category does the book give for L3 Land revaluation?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 effect on 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Raises U.S. 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Lowers U.S. net income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Orontes, an SEC registrant, wants to amortize its goodwill over 10 years. It:</w:t>
      </w:r>
    </w:p>
    <w:p>
      <w:pPr>
        <w:spacing w:after="18"/>
        <w:ind w:left="560" w:hanging="260"/>
      </w:pPr>
      <w:r>
        <w:rPr>
          <w:b/>
          <w:bCs/>
          <w:color w:val="8186EF"/>
          <w:sz w:val="18"/>
          <w:szCs w:val="18"/>
        </w:rPr>
        <w:t xml:space="preserve">A. </w:t>
      </w:r>
      <w:r>
        <w:rPr>
          <w:sz w:val="18"/>
          <w:szCs w:val="18"/>
        </w:rPr>
        <w:t xml:space="preserve">may, using the private-company alternative</w:t>
      </w:r>
    </w:p>
    <w:p>
      <w:pPr>
        <w:spacing w:after="18"/>
        <w:ind w:left="560" w:hanging="260"/>
      </w:pPr>
      <w:r>
        <w:rPr>
          <w:b/>
          <w:bCs/>
          <w:color w:val="8186EF"/>
          <w:sz w:val="18"/>
          <w:szCs w:val="18"/>
        </w:rPr>
        <w:t xml:space="preserve">B. </w:t>
      </w:r>
      <w:r>
        <w:rPr>
          <w:sz w:val="18"/>
          <w:szCs w:val="18"/>
        </w:rPr>
        <w:t xml:space="preserve">must amortize over 40 years</w:t>
      </w:r>
    </w:p>
    <w:p>
      <w:pPr>
        <w:spacing w:after="18"/>
        <w:ind w:left="560" w:hanging="260"/>
      </w:pPr>
      <w:r>
        <w:rPr>
          <w:b/>
          <w:bCs/>
          <w:color w:val="8186EF"/>
          <w:sz w:val="18"/>
          <w:szCs w:val="18"/>
        </w:rPr>
        <w:t xml:space="preserve">C. </w:t>
      </w:r>
      <w:r>
        <w:rPr>
          <w:sz w:val="18"/>
          <w:szCs w:val="18"/>
        </w:rPr>
        <w:t xml:space="preserve">may, if IFRS allows it</w:t>
      </w:r>
    </w:p>
    <w:p>
      <w:pPr>
        <w:spacing w:after="18"/>
        <w:ind w:left="560" w:hanging="260"/>
      </w:pPr>
      <w:r>
        <w:rPr>
          <w:b/>
          <w:bCs/>
          <w:color w:val="8186EF"/>
          <w:sz w:val="18"/>
          <w:szCs w:val="18"/>
        </w:rPr>
        <w:t xml:space="preserve">D. </w:t>
      </w:r>
      <w:r>
        <w:rPr>
          <w:sz w:val="18"/>
          <w:szCs w:val="18"/>
        </w:rPr>
        <w:t xml:space="preserve">may not; only private companies can elect goodwill amortization</w:t>
      </w:r>
    </w:p>
    <w:p>
      <w:pPr>
        <w:spacing w:before="40" w:after="16"/>
        <w:ind w:left="300" w:hanging="300"/>
      </w:pPr>
      <w:r>
        <w:rPr>
          <w:b/>
          <w:bCs/>
          <w:color w:val="353A7C"/>
          <w:sz w:val="19"/>
          <w:szCs w:val="19"/>
        </w:rPr>
        <w:t xml:space="preserve">23.  </w:t>
      </w:r>
      <w:r>
        <w:rPr>
          <w:sz w:val="19"/>
          <w:szCs w:val="19"/>
        </w:rPr>
        <w:t xml:space="preserve">Inventory with a cost of $80,000 was written down to $70,000. NRV then rises to $85,000. What is the carrying amount under IFRS?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$80,000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$85,000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revaluation model  ·  prior service cost  ·  lower of cost and net realizable value (LCNRV)</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17.2</w:t>
      </w:r>
    </w:p>
    <w:p>
      <w:pPr>
        <w:spacing w:after="8"/>
      </w:pPr>
      <w:r>
        <w:rPr>
          <w:color w:val="23265A"/>
          <w:sz w:val="22"/>
          <w:szCs w:val="22"/>
        </w:rPr>
        <w:t xml:space="preserve">(ii) Intangible assets</w:t>
      </w:r>
    </w:p>
    <w:p>
      <w:pPr>
        <w:spacing w:after="130"/>
      </w:pPr>
      <w:r>
        <w:rPr>
          <w:color w:val="6B7280"/>
          <w:sz w:val="20"/>
          <w:szCs w:val="20"/>
        </w:rPr>
        <w:t xml:space="preserve">section 17.2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5"/>
        <w:gridCol w:w="3020"/>
        <w:gridCol w:w="45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7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1"/>
            <w:tcMar>
              <w:top w:type="dxa" w:w="50"/>
              <w:left w:type="dxa" w:w="110"/>
              <w:bottom w:type="dxa" w:w="50"/>
              <w:right w:type="dxa" w:w="110"/>
            </w:tcMar>
          </w:tcPr>
          <w:p>
            <w:pPr>
              <w:spacing w:before="26" w:after="26"/>
            </w:pPr>
            <w:r>
              <w:rPr>
                <w:color w:val="232733"/>
                <w:sz w:val="16"/>
                <w:szCs w:val="16"/>
              </w:rPr>
              <w:t xml:space="preserve">(ii) Intangible assets</w:t>
            </w:r>
          </w:p>
        </w:tc>
        <w:tc>
          <w:tcPr>
            <w:tcW w:type="pct" w:w="1573"/>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346"/>
            <w:tcMar>
              <w:top w:type="dxa" w:w="50"/>
              <w:left w:type="dxa" w:w="110"/>
              <w:bottom w:type="dxa" w:w="50"/>
              <w:right w:type="dxa" w:w="110"/>
            </w:tcMar>
          </w:tcPr>
          <w:p>
            <w:pPr>
              <w:spacing w:before="26" w:after="26"/>
            </w:pPr>
            <w:r>
              <w:rPr>
                <w:color w:val="232733"/>
                <w:sz w:val="16"/>
                <w:szCs w:val="16"/>
              </w:rPr>
              <w:t xml:space="preserve">A U.S. company uses LIFO. Which valuation rule applies at year-end?</w:t>
            </w:r>
          </w:p>
        </w:tc>
      </w:tr>
      <w:tr>
        <w:tc>
          <w:tcPr>
            <w:tcW w:type="pct" w:w="108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73"/>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234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remeasurements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remeasurements   ·   difference   ·   intangibles   ·   component depreciation   ·   development</w:t>
      </w:r>
    </w:p>
    <w:p>
      <w:pPr>
        <w:spacing w:before="36" w:after="36"/>
        <w:ind w:left="300"/>
      </w:pPr>
      <w:r>
        <w:rPr>
          <w:sz w:val="19"/>
          <w:szCs w:val="19"/>
        </w:rPr>
        <w:t xml:space="preserve">The largest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w:t>
      </w:r>
      <w:r>
        <w:rPr>
          <w:u w:val="single"/>
          <w:sz w:val="19"/>
          <w:szCs w:val="19"/>
        </w:rPr>
        <w:t xml:space="preserve">             </w:t>
      </w:r>
      <w:r>
        <w:rPr>
          <w:sz w:val="19"/>
          <w:szCs w:val="19"/>
        </w:rPr>
        <w:t xml:space="preserve"> costs. GAAP expenses research and development as incurred, with narrow exceptions for software.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feasibility   ·   remeasurements   ·   development   ·   capitalizes</w:t>
      </w:r>
    </w:p>
    <w:p>
      <w:pPr>
        <w:spacing w:before="36" w:after="36"/>
        <w:ind w:left="300"/>
      </w:pPr>
      <w:r>
        <w:rPr>
          <w:sz w:val="19"/>
          <w:szCs w:val="19"/>
        </w:rPr>
        <w:t xml:space="preserve">IAS 38 expenses research but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once six criteria are met, such as technical </w:t>
      </w:r>
      <w:r>
        <w:rPr>
          <w:u w:val="single"/>
          <w:sz w:val="19"/>
          <w:szCs w:val="19"/>
        </w:rPr>
        <w:t xml:space="preserve">             </w:t>
      </w:r>
      <w:r>
        <w:rPr>
          <w:sz w:val="19"/>
          <w:szCs w:val="19"/>
        </w:rPr>
        <w:t xml:space="preserve">, intention and ability to complete, and a way to generate future benefits. GAAP the whole amount is an expense; under IFRS it is an intangible asset, amortized once the product is ready.</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revaluation   ·   frameworks   ·   remeasurements   ·   component depreciation   ·   intangibles</w:t>
      </w:r>
    </w:p>
    <w:p>
      <w:pPr>
        <w:spacing w:before="36" w:after="36"/>
        <w:ind w:left="300"/>
      </w:pPr>
      <w:r>
        <w:rPr>
          <w:sz w:val="19"/>
          <w:szCs w:val="19"/>
        </w:rPr>
        <w:t xml:space="preserve">IAS 38 also allows the </w:t>
      </w:r>
      <w:r>
        <w:rPr>
          <w:u w:val="single"/>
          <w:sz w:val="19"/>
          <w:szCs w:val="19"/>
        </w:rPr>
        <w:t xml:space="preserve">             </w:t>
      </w:r>
      <w:r>
        <w:rPr>
          <w:sz w:val="19"/>
          <w:szCs w:val="19"/>
        </w:rPr>
        <w:t xml:space="preserve"> model for </w:t>
      </w:r>
      <w:r>
        <w:rPr>
          <w:u w:val="single"/>
          <w:sz w:val="19"/>
          <w:szCs w:val="19"/>
        </w:rPr>
        <w:t xml:space="preserve">             </w:t>
      </w:r>
      <w:r>
        <w:rPr>
          <w:sz w:val="19"/>
          <w:szCs w:val="19"/>
        </w:rPr>
        <w:t xml:space="preserve">, but only where an active market exists, which is rare. Both </w:t>
      </w:r>
      <w:r>
        <w:rPr>
          <w:u w:val="single"/>
          <w:sz w:val="19"/>
          <w:szCs w:val="19"/>
        </w:rPr>
        <w:t xml:space="preserve">            </w:t>
      </w:r>
      <w:r>
        <w:rPr>
          <w:sz w:val="19"/>
          <w:szCs w:val="19"/>
        </w:rPr>
        <w:t xml:space="preserve"> refuse to recognize internally generated brands. Private companies may amortize goodwill, but an SEC registrant such as Orontes may not.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(ii) Intangible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1421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23"/>
        <w:gridCol w:w="3186"/>
        <w:gridCol w:w="26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939"/>
            <w:tcMar>
              <w:top w:type="dxa" w:w="50"/>
              <w:left w:type="dxa" w:w="110"/>
              <w:bottom w:type="dxa" w:w="50"/>
              <w:right w:type="dxa" w:w="110"/>
            </w:tcMar>
          </w:tcPr>
          <w:p>
            <w:pPr>
              <w:spacing w:before="26" w:after="26"/>
            </w:pPr>
            <w:r>
              <w:rPr>
                <w:b/>
                <w:bCs/>
                <w:color w:val="353A7C"/>
                <w:sz w:val="15"/>
                <w:szCs w:val="15"/>
              </w:rPr>
              <w:t xml:space="preserve">Topic</w:t>
            </w:r>
          </w:p>
        </w:tc>
        <w:tc>
          <w:tcPr>
            <w:tcW w:type="pct" w:w="1659"/>
            <w:tcMar>
              <w:top w:type="dxa" w:w="50"/>
              <w:left w:type="dxa" w:w="110"/>
              <w:bottom w:type="dxa" w:w="50"/>
              <w:right w:type="dxa" w:w="110"/>
            </w:tcMar>
          </w:tcPr>
          <w:p>
            <w:pPr>
              <w:spacing w:before="26" w:after="26"/>
            </w:pPr>
            <w:r>
              <w:rPr>
                <w:b/>
                <w:bCs/>
                <w:color w:val="353A7C"/>
                <w:sz w:val="15"/>
                <w:szCs w:val="15"/>
              </w:rPr>
              <w:t xml:space="preserve">U.S. GAAP (ASC 350, 730)</w:t>
            </w:r>
          </w:p>
        </w:tc>
        <w:tc>
          <w:tcPr>
            <w:tcW w:type="pct" w:w="1402"/>
            <w:tcMar>
              <w:top w:type="dxa" w:w="50"/>
              <w:left w:type="dxa" w:w="110"/>
              <w:bottom w:type="dxa" w:w="50"/>
              <w:right w:type="dxa" w:w="110"/>
            </w:tcMar>
          </w:tcPr>
          <w:p>
            <w:pPr>
              <w:spacing w:before="26" w:after="26"/>
            </w:pPr>
            <w:r>
              <w:rPr>
                <w:b/>
                <w:bCs/>
                <w:color w:val="353A7C"/>
                <w:sz w:val="15"/>
                <w:szCs w:val="15"/>
              </w:rPr>
              <w:t xml:space="preserve">IFRS (IAS 38)</w:t>
            </w:r>
          </w:p>
        </w:tc>
      </w:tr>
      <w:tr>
        <w:tc>
          <w:tcPr>
            <w:tcW w:type="pct" w:w="1939"/>
            <w:tcMar>
              <w:top w:type="dxa" w:w="50"/>
              <w:left w:type="dxa" w:w="110"/>
              <w:bottom w:type="dxa" w:w="50"/>
              <w:right w:type="dxa" w:w="110"/>
            </w:tcMar>
          </w:tcPr>
          <w:p>
            <w:pPr>
              <w:spacing w:before="26" w:after="26"/>
            </w:pPr>
            <w:r>
              <w:rPr>
                <w:color w:val="232733"/>
                <w:sz w:val="16"/>
                <w:szCs w:val="16"/>
              </w:rPr>
              <w:t xml:space="preserve">Development costs: Orontes's new sparkling-juice line, 300,000</w:t>
            </w:r>
          </w:p>
        </w:tc>
        <w:tc>
          <w:tcPr>
            <w:tcW w:type="pct" w:w="1659"/>
            <w:tcMar>
              <w:top w:type="dxa" w:w="50"/>
              <w:left w:type="dxa" w:w="110"/>
              <w:bottom w:type="dxa" w:w="50"/>
              <w:right w:type="dxa" w:w="110"/>
            </w:tcMar>
          </w:tcPr>
          <w:p>
            <w:pPr>
              <w:spacing w:before="26" w:after="26"/>
            </w:pPr>
            <w:r>
              <w:rPr>
                <w:color w:val="232733"/>
                <w:sz w:val="16"/>
                <w:szCs w:val="16"/>
              </w:rPr>
              <w:t xml:space="preserve">Expensed as R&amp;D</w:t>
            </w:r>
          </w:p>
        </w:tc>
        <w:tc>
          <w:tcPr>
            <w:tcW w:type="pct" w:w="1402"/>
            <w:tcMar>
              <w:top w:type="dxa" w:w="50"/>
              <w:left w:type="dxa" w:w="110"/>
              <w:bottom w:type="dxa" w:w="50"/>
              <w:right w:type="dxa" w:w="110"/>
            </w:tcMar>
          </w:tcPr>
          <w:p>
            <w:pPr>
              <w:spacing w:before="26" w:after="26"/>
            </w:pPr>
            <w:r>
              <w:rPr>
                <w:color w:val="232733"/>
                <w:sz w:val="16"/>
                <w:szCs w:val="16"/>
              </w:rPr>
              <w:t xml:space="preserve">Capitalized: all six IAS 38 criteria are met</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Software developed for sale or internal use</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Capitalized only in limited stages (ASC 985-20, 350-40)</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Development rules of IAS 38</w:t>
            </w:r>
          </w:p>
        </w:tc>
      </w:tr>
      <w:tr>
        <w:tc>
          <w:tcPr>
            <w:tcW w:type="pct" w:w="1939"/>
            <w:tcMar>
              <w:top w:type="dxa" w:w="50"/>
              <w:left w:type="dxa" w:w="110"/>
              <w:bottom w:type="dxa" w:w="50"/>
              <w:right w:type="dxa" w:w="110"/>
            </w:tcMar>
          </w:tcPr>
          <w:p>
            <w:pPr>
              <w:spacing w:before="26" w:after="26"/>
            </w:pPr>
            <w:r>
              <w:rPr>
                <w:color w:val="232733"/>
                <w:sz w:val="16"/>
                <w:szCs w:val="16"/>
              </w:rPr>
              <w:t xml:space="preserve">Revaluation of intangibles</w:t>
            </w:r>
          </w:p>
        </w:tc>
        <w:tc>
          <w:tcPr>
            <w:tcW w:type="pct" w:w="1659"/>
            <w:tcMar>
              <w:top w:type="dxa" w:w="50"/>
              <w:left w:type="dxa" w:w="110"/>
              <w:bottom w:type="dxa" w:w="50"/>
              <w:right w:type="dxa" w:w="110"/>
            </w:tcMar>
          </w:tcPr>
          <w:p>
            <w:pPr>
              <w:spacing w:before="26" w:after="26"/>
            </w:pPr>
            <w:r>
              <w:rPr>
                <w:color w:val="232733"/>
                <w:sz w:val="16"/>
                <w:szCs w:val="16"/>
              </w:rPr>
              <w:t xml:space="preserve">Not allowed</w:t>
            </w:r>
          </w:p>
        </w:tc>
        <w:tc>
          <w:tcPr>
            <w:tcW w:type="pct" w:w="1402"/>
            <w:tcMar>
              <w:top w:type="dxa" w:w="50"/>
              <w:left w:type="dxa" w:w="110"/>
              <w:bottom w:type="dxa" w:w="50"/>
              <w:right w:type="dxa" w:w="110"/>
            </w:tcMar>
          </w:tcPr>
          <w:p>
            <w:pPr>
              <w:spacing w:before="26" w:after="26"/>
            </w:pPr>
            <w:r>
              <w:rPr>
                <w:color w:val="232733"/>
                <w:sz w:val="16"/>
                <w:szCs w:val="16"/>
              </w:rPr>
              <w:t xml:space="preserve">Allowed only if an active market exists</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Internally generated brands and customer lists</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Not recognized</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Not recognized</w:t>
            </w:r>
          </w:p>
        </w:tc>
      </w:tr>
      <w:tr>
        <w:tc>
          <w:tcPr>
            <w:tcW w:type="pct" w:w="1939"/>
            <w:tcMar>
              <w:top w:type="dxa" w:w="50"/>
              <w:left w:type="dxa" w:w="110"/>
              <w:bottom w:type="dxa" w:w="50"/>
              <w:right w:type="dxa" w:w="110"/>
            </w:tcMar>
          </w:tcPr>
          <w:p>
            <w:pPr>
              <w:spacing w:before="26" w:after="26"/>
            </w:pPr>
            <w:r>
              <w:rPr>
                <w:color w:val="232733"/>
                <w:sz w:val="16"/>
                <w:szCs w:val="16"/>
              </w:rPr>
              <w:t xml:space="preserve">Indefinite-life intangibles</w:t>
            </w:r>
          </w:p>
        </w:tc>
        <w:tc>
          <w:tcPr>
            <w:tcW w:type="pct" w:w="1659"/>
            <w:tcMar>
              <w:top w:type="dxa" w:w="50"/>
              <w:left w:type="dxa" w:w="110"/>
              <w:bottom w:type="dxa" w:w="50"/>
              <w:right w:type="dxa" w:w="110"/>
            </w:tcMar>
          </w:tcPr>
          <w:p>
            <w:pPr>
              <w:spacing w:before="26" w:after="26"/>
            </w:pPr>
            <w:r>
              <w:rPr>
                <w:color w:val="232733"/>
                <w:sz w:val="16"/>
                <w:szCs w:val="16"/>
              </w:rPr>
              <w:t xml:space="preserve">Not amortized; tested for impairment</w:t>
            </w:r>
          </w:p>
        </w:tc>
        <w:tc>
          <w:tcPr>
            <w:tcW w:type="pct" w:w="1402"/>
            <w:tcMar>
              <w:top w:type="dxa" w:w="50"/>
              <w:left w:type="dxa" w:w="110"/>
              <w:bottom w:type="dxa" w:w="50"/>
              <w:right w:type="dxa" w:w="110"/>
            </w:tcMar>
          </w:tcPr>
          <w:p>
            <w:pPr>
              <w:spacing w:before="26" w:after="26"/>
            </w:pPr>
            <w:r>
              <w:rPr>
                <w:color w:val="232733"/>
                <w:sz w:val="16"/>
                <w:szCs w:val="16"/>
              </w:rPr>
              <w:t xml:space="preserve">Not amortized; tested for impairment</w:t>
            </w:r>
          </w:p>
        </w:tc>
      </w:tr>
      <w:tr>
        <w:tc>
          <w:tcPr>
            <w:tcW w:type="pct" w:w="1939"/>
            <w:shd w:fill="FBFAF6" w:val="clear"/>
            <w:tcMar>
              <w:top w:type="dxa" w:w="50"/>
              <w:left w:type="dxa" w:w="110"/>
              <w:bottom w:type="dxa" w:w="50"/>
              <w:right w:type="dxa" w:w="110"/>
            </w:tcMar>
          </w:tcPr>
          <w:p>
            <w:pPr>
              <w:spacing w:before="26" w:after="26"/>
            </w:pPr>
            <w:r>
              <w:rPr>
                <w:color w:val="232733"/>
                <w:sz w:val="16"/>
                <w:szCs w:val="16"/>
              </w:rPr>
              <w:t xml:space="preserve">Goodwill amortization</w:t>
            </w:r>
          </w:p>
        </w:tc>
        <w:tc>
          <w:tcPr>
            <w:tcW w:type="pct" w:w="1659"/>
            <w:shd w:fill="FBFAF6" w:val="clear"/>
            <w:tcMar>
              <w:top w:type="dxa" w:w="50"/>
              <w:left w:type="dxa" w:w="110"/>
              <w:bottom w:type="dxa" w:w="50"/>
              <w:right w:type="dxa" w:w="110"/>
            </w:tcMar>
          </w:tcPr>
          <w:p>
            <w:pPr>
              <w:spacing w:before="26" w:after="26"/>
            </w:pPr>
            <w:r>
              <w:rPr>
                <w:color w:val="232733"/>
                <w:sz w:val="16"/>
                <w:szCs w:val="16"/>
              </w:rPr>
              <w:t xml:space="preserve">Only private companies may elect it</w:t>
            </w:r>
          </w:p>
        </w:tc>
        <w:tc>
          <w:tcPr>
            <w:tcW w:type="pct" w:w="1402"/>
            <w:shd w:fill="FBFAF6" w:val="clear"/>
            <w:tcMar>
              <w:top w:type="dxa" w:w="50"/>
              <w:left w:type="dxa" w:w="110"/>
              <w:bottom w:type="dxa" w:w="50"/>
              <w:right w:type="dxa" w:w="110"/>
            </w:tcMar>
          </w:tcPr>
          <w:p>
            <w:pPr>
              <w:spacing w:before="26" w:after="26"/>
            </w:pPr>
            <w:r>
              <w:rPr>
                <w:color w:val="232733"/>
                <w:sz w:val="16"/>
                <w:szCs w:val="16"/>
              </w:rPr>
              <w:t xml:space="preserve">Never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“Capitalized only in limited stages (ASC 985-20, 350-40)”?</w:t>
      </w:r>
    </w:p>
    <w:p>
      <w:pPr>
        <w:spacing w:after="18"/>
        <w:ind w:left="560" w:hanging="260"/>
      </w:pPr>
      <w:r>
        <w:rPr>
          <w:b/>
          <w:bCs/>
          <w:color w:val="8186EF"/>
          <w:sz w:val="18"/>
          <w:szCs w:val="18"/>
        </w:rPr>
        <w:t xml:space="preserve">A. </w:t>
      </w:r>
      <w:r>
        <w:rPr>
          <w:sz w:val="18"/>
          <w:szCs w:val="18"/>
        </w:rPr>
        <w:t xml:space="preserve">Internally generated brands and customer lists</w:t>
      </w:r>
    </w:p>
    <w:p>
      <w:pPr>
        <w:spacing w:after="18"/>
        <w:ind w:left="560" w:hanging="260"/>
      </w:pPr>
      <w:r>
        <w:rPr>
          <w:b/>
          <w:bCs/>
          <w:color w:val="8186EF"/>
          <w:sz w:val="18"/>
          <w:szCs w:val="18"/>
        </w:rPr>
        <w:t xml:space="preserve">B. </w:t>
      </w:r>
      <w:r>
        <w:rPr>
          <w:sz w:val="18"/>
          <w:szCs w:val="18"/>
        </w:rPr>
        <w:t xml:space="preserve">Indefinite-life intangibles</w:t>
      </w:r>
    </w:p>
    <w:p>
      <w:pPr>
        <w:spacing w:after="18"/>
        <w:ind w:left="560" w:hanging="260"/>
      </w:pPr>
      <w:r>
        <w:rPr>
          <w:b/>
          <w:bCs/>
          <w:color w:val="8186EF"/>
          <w:sz w:val="18"/>
          <w:szCs w:val="18"/>
        </w:rPr>
        <w:t xml:space="preserve">C. </w:t>
      </w:r>
      <w:r>
        <w:rPr>
          <w:sz w:val="18"/>
          <w:szCs w:val="18"/>
        </w:rPr>
        <w:t xml:space="preserve">Software developed for sale or internal use</w:t>
      </w:r>
    </w:p>
    <w:p>
      <w:pPr>
        <w:spacing w:after="18"/>
        <w:ind w:left="560" w:hanging="260"/>
      </w:pPr>
      <w:r>
        <w:rPr>
          <w:b/>
          <w:bCs/>
          <w:color w:val="8186EF"/>
          <w:sz w:val="18"/>
          <w:szCs w:val="18"/>
        </w:rPr>
        <w:t xml:space="preserve">D. </w:t>
      </w:r>
      <w:r>
        <w:rPr>
          <w:sz w:val="18"/>
          <w:szCs w:val="18"/>
        </w:rPr>
        <w:t xml:space="preserve">Goodwill amortization</w:t>
      </w:r>
    </w:p>
    <w:p>
      <w:pPr>
        <w:spacing w:before="40" w:after="16"/>
        <w:ind w:left="300" w:hanging="300"/>
      </w:pPr>
      <w:r>
        <w:rPr>
          <w:b/>
          <w:bCs/>
          <w:color w:val="353A7C"/>
          <w:sz w:val="19"/>
          <w:szCs w:val="19"/>
        </w:rPr>
        <w:t xml:space="preserve">6.  </w:t>
      </w:r>
      <w:r>
        <w:rPr>
          <w:sz w:val="19"/>
          <w:szCs w:val="19"/>
        </w:rPr>
        <w:t xml:space="preserve">Which topic does the book pair with “Not allowed”?</w:t>
      </w:r>
    </w:p>
    <w:p>
      <w:pPr>
        <w:spacing w:after="18"/>
        <w:ind w:left="560" w:hanging="260"/>
      </w:pPr>
      <w:r>
        <w:rPr>
          <w:b/>
          <w:bCs/>
          <w:color w:val="8186EF"/>
          <w:sz w:val="18"/>
          <w:szCs w:val="18"/>
        </w:rPr>
        <w:t xml:space="preserve">A. </w:t>
      </w:r>
      <w:r>
        <w:rPr>
          <w:sz w:val="18"/>
          <w:szCs w:val="18"/>
        </w:rPr>
        <w:t xml:space="preserve">Revaluation of intangibles</w:t>
      </w:r>
    </w:p>
    <w:p>
      <w:pPr>
        <w:spacing w:after="18"/>
        <w:ind w:left="560" w:hanging="260"/>
      </w:pPr>
      <w:r>
        <w:rPr>
          <w:b/>
          <w:bCs/>
          <w:color w:val="8186EF"/>
          <w:sz w:val="18"/>
          <w:szCs w:val="18"/>
        </w:rPr>
        <w:t xml:space="preserve">B. </w:t>
      </w:r>
      <w:r>
        <w:rPr>
          <w:sz w:val="18"/>
          <w:szCs w:val="18"/>
        </w:rPr>
        <w:t xml:space="preserve">Internally generated brands and customer lists</w:t>
      </w:r>
    </w:p>
    <w:p>
      <w:pPr>
        <w:spacing w:after="18"/>
        <w:ind w:left="560" w:hanging="260"/>
      </w:pPr>
      <w:r>
        <w:rPr>
          <w:b/>
          <w:bCs/>
          <w:color w:val="8186EF"/>
          <w:sz w:val="18"/>
          <w:szCs w:val="18"/>
        </w:rPr>
        <w:t xml:space="preserve">C. </w:t>
      </w:r>
      <w:r>
        <w:rPr>
          <w:sz w:val="18"/>
          <w:szCs w:val="18"/>
        </w:rPr>
        <w:t xml:space="preserve">Software developed for sale or internal use</w:t>
      </w:r>
    </w:p>
    <w:p>
      <w:pPr>
        <w:spacing w:after="18"/>
        <w:ind w:left="560" w:hanging="260"/>
      </w:pPr>
      <w:r>
        <w:rPr>
          <w:b/>
          <w:bCs/>
          <w:color w:val="8186EF"/>
          <w:sz w:val="18"/>
          <w:szCs w:val="18"/>
        </w:rPr>
        <w:t xml:space="preserve">D. </w:t>
      </w:r>
      <w:r>
        <w:rPr>
          <w:sz w:val="18"/>
          <w:szCs w:val="18"/>
        </w:rPr>
        <w:t xml:space="preserve">Goodwill amortization</w:t>
      </w:r>
    </w:p>
    <w:p>
      <w:pPr>
        <w:spacing w:before="40" w:after="16"/>
        <w:ind w:left="300" w:hanging="300"/>
      </w:pPr>
      <w:r>
        <w:rPr>
          <w:b/>
          <w:bCs/>
          <w:color w:val="353A7C"/>
          <w:sz w:val="19"/>
          <w:szCs w:val="19"/>
        </w:rPr>
        <w:t xml:space="preserve">7.  </w:t>
      </w:r>
      <w:r>
        <w:rPr>
          <w:sz w:val="19"/>
          <w:szCs w:val="19"/>
        </w:rPr>
        <w:t xml:space="preserve">Which topic does the book pair with “Not recognized”?</w:t>
      </w:r>
    </w:p>
    <w:p>
      <w:pPr>
        <w:spacing w:after="18"/>
        <w:ind w:left="560" w:hanging="260"/>
      </w:pPr>
      <w:r>
        <w:rPr>
          <w:b/>
          <w:bCs/>
          <w:color w:val="8186EF"/>
          <w:sz w:val="18"/>
          <w:szCs w:val="18"/>
        </w:rPr>
        <w:t xml:space="preserve">A. </w:t>
      </w:r>
      <w:r>
        <w:rPr>
          <w:sz w:val="18"/>
          <w:szCs w:val="18"/>
        </w:rPr>
        <w:t xml:space="preserve">Internally generated brands and customer lists</w:t>
      </w:r>
    </w:p>
    <w:p>
      <w:pPr>
        <w:spacing w:after="18"/>
        <w:ind w:left="560" w:hanging="260"/>
      </w:pPr>
      <w:r>
        <w:rPr>
          <w:b/>
          <w:bCs/>
          <w:color w:val="8186EF"/>
          <w:sz w:val="18"/>
          <w:szCs w:val="18"/>
        </w:rPr>
        <w:t xml:space="preserve">B. </w:t>
      </w:r>
      <w:r>
        <w:rPr>
          <w:sz w:val="18"/>
          <w:szCs w:val="18"/>
        </w:rPr>
        <w:t xml:space="preserve">Goodwill amortization</w:t>
      </w:r>
    </w:p>
    <w:p>
      <w:pPr>
        <w:spacing w:after="18"/>
        <w:ind w:left="560" w:hanging="260"/>
      </w:pPr>
      <w:r>
        <w:rPr>
          <w:b/>
          <w:bCs/>
          <w:color w:val="8186EF"/>
          <w:sz w:val="18"/>
          <w:szCs w:val="18"/>
        </w:rPr>
        <w:t xml:space="preserve">C. </w:t>
      </w:r>
      <w:r>
        <w:rPr>
          <w:sz w:val="18"/>
          <w:szCs w:val="18"/>
        </w:rPr>
        <w:t xml:space="preserve">Indefinite-life intangibles</w:t>
      </w:r>
    </w:p>
    <w:p>
      <w:pPr>
        <w:spacing w:after="18"/>
        <w:ind w:left="560" w:hanging="260"/>
      </w:pPr>
      <w:r>
        <w:rPr>
          <w:b/>
          <w:bCs/>
          <w:color w:val="8186EF"/>
          <w:sz w:val="18"/>
          <w:szCs w:val="18"/>
        </w:rPr>
        <w:t xml:space="preserve">D. </w:t>
      </w:r>
      <w:r>
        <w:rPr>
          <w:sz w:val="18"/>
          <w:szCs w:val="18"/>
        </w:rPr>
        <w:t xml:space="preserve">Software developed for sale or internal use</w:t>
      </w:r>
    </w:p>
    <w:p>
      <w:pPr>
        <w:spacing w:before="30" w:after="30"/>
        <w:ind w:left="300" w:hanging="300"/>
      </w:pPr>
      <w:r>
        <w:rPr>
          <w:b/>
          <w:bCs/>
          <w:color w:val="353A7C"/>
          <w:sz w:val="19"/>
          <w:szCs w:val="19"/>
        </w:rPr>
        <w:t xml:space="preserve">8.  </w:t>
      </w:r>
      <w:r>
        <w:rPr>
          <w:sz w:val="19"/>
          <w:szCs w:val="19"/>
        </w:rPr>
        <w:t xml:space="preserve">The book gives the IFRS (IAS 38) of Software developed for sale or internal use as “Not amortized; tested for impairment”.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U.S. company uses LIFO. Which valuation rule applies at year-end?</w:t>
      </w:r>
    </w:p>
    <w:p>
      <w:pPr>
        <w:spacing w:after="18"/>
        <w:ind w:left="560" w:hanging="260"/>
      </w:pPr>
      <w:r>
        <w:rPr>
          <w:b/>
          <w:bCs/>
          <w:color w:val="8186EF"/>
          <w:sz w:val="18"/>
          <w:szCs w:val="18"/>
        </w:rPr>
        <w:t xml:space="preserve">A. </w:t>
      </w:r>
      <w:r>
        <w:rPr>
          <w:sz w:val="18"/>
          <w:szCs w:val="18"/>
        </w:rPr>
        <w:t xml:space="preserve">Lower of cost or market</w:t>
      </w:r>
    </w:p>
    <w:p>
      <w:pPr>
        <w:spacing w:after="18"/>
        <w:ind w:left="560" w:hanging="260"/>
      </w:pPr>
      <w:r>
        <w:rPr>
          <w:b/>
          <w:bCs/>
          <w:color w:val="8186EF"/>
          <w:sz w:val="18"/>
          <w:szCs w:val="18"/>
        </w:rPr>
        <w:t xml:space="preserve">B. </w:t>
      </w:r>
      <w:r>
        <w:rPr>
          <w:sz w:val="18"/>
          <w:szCs w:val="18"/>
        </w:rPr>
        <w:t xml:space="preserve">Lower of cost and net realizable value</w:t>
      </w:r>
    </w:p>
    <w:p>
      <w:pPr>
        <w:spacing w:after="18"/>
        <w:ind w:left="560" w:hanging="260"/>
      </w:pPr>
      <w:r>
        <w:rPr>
          <w:b/>
          <w:bCs/>
          <w:color w:val="8186EF"/>
          <w:sz w:val="18"/>
          <w:szCs w:val="18"/>
        </w:rPr>
        <w:t xml:space="preserve">C. </w:t>
      </w:r>
      <w:r>
        <w:rPr>
          <w:sz w:val="18"/>
          <w:szCs w:val="18"/>
        </w:rPr>
        <w:t xml:space="preserve">Fair value</w:t>
      </w:r>
    </w:p>
    <w:p>
      <w:pPr>
        <w:spacing w:after="18"/>
        <w:ind w:left="560" w:hanging="260"/>
      </w:pPr>
      <w:r>
        <w:rPr>
          <w:b/>
          <w:bCs/>
          <w:color w:val="8186EF"/>
          <w:sz w:val="18"/>
          <w:szCs w:val="18"/>
        </w:rPr>
        <w:t xml:space="preserve">D. </w:t>
      </w:r>
      <w:r>
        <w:rPr>
          <w:sz w:val="18"/>
          <w:szCs w:val="18"/>
        </w:rPr>
        <w:t xml:space="preserve">Replacement cost always</w:t>
      </w:r>
    </w:p>
    <w:p>
      <w:pPr>
        <w:spacing w:before="40" w:after="16"/>
        <w:ind w:left="300" w:hanging="300"/>
      </w:pPr>
      <w:r>
        <w:rPr>
          <w:b/>
          <w:bCs/>
          <w:color w:val="353A7C"/>
          <w:sz w:val="19"/>
          <w:szCs w:val="19"/>
        </w:rPr>
        <w:t xml:space="preserve">10.  </w:t>
      </w:r>
      <w:r>
        <w:rPr>
          <w:sz w:val="19"/>
          <w:szCs w:val="19"/>
        </w:rPr>
        <w:t xml:space="preserve">A lessee's payments rise each year with the CPI. After a CPI increase, under IFRS 16 the lessee:</w:t>
      </w:r>
    </w:p>
    <w:p>
      <w:pPr>
        <w:spacing w:after="18"/>
        <w:ind w:left="560" w:hanging="260"/>
      </w:pPr>
      <w:r>
        <w:rPr>
          <w:b/>
          <w:bCs/>
          <w:color w:val="8186EF"/>
          <w:sz w:val="18"/>
          <w:szCs w:val="18"/>
        </w:rPr>
        <w:t xml:space="preserve">A. </w:t>
      </w:r>
      <w:r>
        <w:rPr>
          <w:sz w:val="18"/>
          <w:szCs w:val="18"/>
        </w:rPr>
        <w:t xml:space="preserve">expenses the increase with no remeasurement</w:t>
      </w:r>
    </w:p>
    <w:p>
      <w:pPr>
        <w:spacing w:after="18"/>
        <w:ind w:left="560" w:hanging="260"/>
      </w:pPr>
      <w:r>
        <w:rPr>
          <w:b/>
          <w:bCs/>
          <w:color w:val="8186EF"/>
          <w:sz w:val="18"/>
          <w:szCs w:val="18"/>
        </w:rPr>
        <w:t xml:space="preserve">B. </w:t>
      </w:r>
      <w:r>
        <w:rPr>
          <w:sz w:val="18"/>
          <w:szCs w:val="18"/>
        </w:rPr>
        <w:t xml:space="preserve">remeasures the lease liability</w:t>
      </w:r>
    </w:p>
    <w:p>
      <w:pPr>
        <w:spacing w:after="18"/>
        <w:ind w:left="560" w:hanging="260"/>
      </w:pPr>
      <w:r>
        <w:rPr>
          <w:b/>
          <w:bCs/>
          <w:color w:val="8186EF"/>
          <w:sz w:val="18"/>
          <w:szCs w:val="18"/>
        </w:rPr>
        <w:t xml:space="preserve">C. </w:t>
      </w:r>
      <w:r>
        <w:rPr>
          <w:sz w:val="18"/>
          <w:szCs w:val="18"/>
        </w:rPr>
        <w:t xml:space="preserve">reclassifies the lease</w:t>
      </w:r>
    </w:p>
    <w:p>
      <w:pPr>
        <w:spacing w:after="18"/>
        <w:ind w:left="560" w:hanging="260"/>
      </w:pPr>
      <w:r>
        <w:rPr>
          <w:b/>
          <w:bCs/>
          <w:color w:val="8186EF"/>
          <w:sz w:val="18"/>
          <w:szCs w:val="18"/>
        </w:rPr>
        <w:t xml:space="preserve">D. </w:t>
      </w:r>
      <w:r>
        <w:rPr>
          <w:sz w:val="18"/>
          <w:szCs w:val="18"/>
        </w:rPr>
        <w:t xml:space="preserve">records a gain</w:t>
      </w:r>
    </w:p>
    <w:p>
      <w:pPr>
        <w:spacing w:before="40" w:after="16"/>
        <w:ind w:left="300" w:hanging="300"/>
      </w:pPr>
      <w:r>
        <w:rPr>
          <w:b/>
          <w:bCs/>
          <w:color w:val="353A7C"/>
          <w:sz w:val="19"/>
          <w:szCs w:val="19"/>
        </w:rPr>
        <w:t xml:space="preserve">11.  </w:t>
      </w:r>
      <w:r>
        <w:rPr>
          <w:sz w:val="19"/>
          <w:szCs w:val="19"/>
        </w:rPr>
        <w:t xml:space="preserve">Over the whole life of a lease, compared with IFRS 16, a U.S. operating lease gives:</w:t>
      </w:r>
    </w:p>
    <w:p>
      <w:pPr>
        <w:spacing w:after="18"/>
        <w:ind w:left="560" w:hanging="260"/>
      </w:pPr>
      <w:r>
        <w:rPr>
          <w:b/>
          <w:bCs/>
          <w:color w:val="8186EF"/>
          <w:sz w:val="18"/>
          <w:szCs w:val="18"/>
        </w:rPr>
        <w:t xml:space="preserve">A. </w:t>
      </w:r>
      <w:r>
        <w:rPr>
          <w:sz w:val="18"/>
          <w:szCs w:val="18"/>
        </w:rPr>
        <w:t xml:space="preserve">a lower total expense</w:t>
      </w:r>
    </w:p>
    <w:p>
      <w:pPr>
        <w:spacing w:after="18"/>
        <w:ind w:left="560" w:hanging="260"/>
      </w:pPr>
      <w:r>
        <w:rPr>
          <w:b/>
          <w:bCs/>
          <w:color w:val="8186EF"/>
          <w:sz w:val="18"/>
          <w:szCs w:val="18"/>
        </w:rPr>
        <w:t xml:space="preserve">B. </w:t>
      </w:r>
      <w:r>
        <w:rPr>
          <w:sz w:val="18"/>
          <w:szCs w:val="18"/>
        </w:rPr>
        <w:t xml:space="preserve">the same total expense, spread evenly instead of front-loaded</w:t>
      </w:r>
    </w:p>
    <w:p>
      <w:pPr>
        <w:spacing w:after="18"/>
        <w:ind w:left="560" w:hanging="260"/>
      </w:pPr>
      <w:r>
        <w:rPr>
          <w:b/>
          <w:bCs/>
          <w:color w:val="8186EF"/>
          <w:sz w:val="18"/>
          <w:szCs w:val="18"/>
        </w:rPr>
        <w:t xml:space="preserve">C. </w:t>
      </w:r>
      <w:r>
        <w:rPr>
          <w:sz w:val="18"/>
          <w:szCs w:val="18"/>
        </w:rPr>
        <w:t xml:space="preserve">a higher total expense</w:t>
      </w:r>
    </w:p>
    <w:p>
      <w:pPr>
        <w:spacing w:after="18"/>
        <w:ind w:left="560" w:hanging="260"/>
      </w:pPr>
      <w:r>
        <w:rPr>
          <w:b/>
          <w:bCs/>
          <w:color w:val="8186EF"/>
          <w:sz w:val="18"/>
          <w:szCs w:val="18"/>
        </w:rPr>
        <w:t xml:space="preserve">D. </w:t>
      </w:r>
      <w:r>
        <w:rPr>
          <w:sz w:val="18"/>
          <w:szCs w:val="18"/>
        </w:rPr>
        <w:t xml:space="preserve">no expense until the lease ends</w:t>
      </w:r>
    </w:p>
    <w:p>
      <w:pPr>
        <w:spacing w:before="40" w:after="16"/>
        <w:ind w:left="300" w:hanging="300"/>
      </w:pPr>
      <w:r>
        <w:rPr>
          <w:b/>
          <w:bCs/>
          <w:color w:val="353A7C"/>
          <w:sz w:val="19"/>
          <w:szCs w:val="19"/>
        </w:rPr>
        <w:t xml:space="preserve">12.  </w:t>
      </w:r>
      <w:r>
        <w:rPr>
          <w:sz w:val="19"/>
          <w:szCs w:val="19"/>
        </w:rPr>
        <w:t xml:space="preserve">Under IFRS, a company borrows specifically to build a plant and earns interest on unspent funds. The capitalized borrowing cost is:</w:t>
      </w:r>
    </w:p>
    <w:p>
      <w:pPr>
        <w:spacing w:after="18"/>
        <w:ind w:left="560" w:hanging="260"/>
      </w:pPr>
      <w:r>
        <w:rPr>
          <w:b/>
          <w:bCs/>
          <w:color w:val="8186EF"/>
          <w:sz w:val="18"/>
          <w:szCs w:val="18"/>
        </w:rPr>
        <w:t xml:space="preserve">A. </w:t>
      </w:r>
      <w:r>
        <w:rPr>
          <w:sz w:val="18"/>
          <w:szCs w:val="18"/>
        </w:rPr>
        <w:t xml:space="preserve">interest incurred, with no deduction</w:t>
      </w:r>
    </w:p>
    <w:p>
      <w:pPr>
        <w:spacing w:after="18"/>
        <w:ind w:left="560" w:hanging="260"/>
      </w:pPr>
      <w:r>
        <w:rPr>
          <w:b/>
          <w:bCs/>
          <w:color w:val="8186EF"/>
          <w:sz w:val="18"/>
          <w:szCs w:val="18"/>
        </w:rPr>
        <w:t xml:space="preserve">B. </w:t>
      </w:r>
      <w:r>
        <w:rPr>
          <w:sz w:val="18"/>
          <w:szCs w:val="18"/>
        </w:rPr>
        <w:t xml:space="preserve">zero</w:t>
      </w:r>
    </w:p>
    <w:p>
      <w:pPr>
        <w:spacing w:after="18"/>
        <w:ind w:left="560" w:hanging="260"/>
      </w:pPr>
      <w:r>
        <w:rPr>
          <w:b/>
          <w:bCs/>
          <w:color w:val="8186EF"/>
          <w:sz w:val="18"/>
          <w:szCs w:val="18"/>
        </w:rPr>
        <w:t xml:space="preserve">C. </w:t>
      </w:r>
      <w:r>
        <w:rPr>
          <w:sz w:val="18"/>
          <w:szCs w:val="18"/>
        </w:rPr>
        <w:t xml:space="preserve">interest incurred minus the investment income earned on the borrowed funds</w:t>
      </w:r>
    </w:p>
    <w:p>
      <w:pPr>
        <w:spacing w:after="18"/>
        <w:ind w:left="560" w:hanging="260"/>
      </w:pPr>
      <w:r>
        <w:rPr>
          <w:b/>
          <w:bCs/>
          <w:color w:val="8186EF"/>
          <w:sz w:val="18"/>
          <w:szCs w:val="18"/>
        </w:rPr>
        <w:t xml:space="preserve">D. </w:t>
      </w:r>
      <w:r>
        <w:rPr>
          <w:sz w:val="18"/>
          <w:szCs w:val="18"/>
        </w:rPr>
        <w:t xml:space="preserve">investment income only</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A U.S. company uses LIFO. Which valuation rule applies at year-end?</w:t>
            </w:r>
          </w:p>
          <w:p>
            <w:pPr>
              <w:spacing w:after="16"/>
              <w:ind w:left="500" w:hanging="200"/>
            </w:pPr>
            <w:r>
              <w:rPr>
                <w:b/>
                <w:bCs/>
                <w:color w:val="8186EF"/>
                <w:sz w:val="18"/>
                <w:szCs w:val="18"/>
              </w:rPr>
              <w:t xml:space="preserve">A. </w:t>
            </w:r>
            <w:r>
              <w:rPr>
                <w:sz w:val="18"/>
                <w:szCs w:val="18"/>
              </w:rPr>
              <w:t xml:space="preserve">Lower of cost or market</w:t>
            </w:r>
          </w:p>
          <w:p>
            <w:pPr>
              <w:spacing w:after="16"/>
              <w:ind w:left="500" w:hanging="200"/>
            </w:pPr>
            <w:r>
              <w:rPr>
                <w:b/>
                <w:bCs/>
                <w:color w:val="8186EF"/>
                <w:sz w:val="18"/>
                <w:szCs w:val="18"/>
              </w:rPr>
              <w:t xml:space="preserve">B. </w:t>
            </w:r>
            <w:r>
              <w:rPr>
                <w:sz w:val="18"/>
                <w:szCs w:val="18"/>
              </w:rPr>
              <w:t xml:space="preserve">Lower of cost and net realizable value</w:t>
            </w:r>
          </w:p>
          <w:p>
            <w:pPr>
              <w:spacing w:after="16"/>
              <w:ind w:left="500" w:hanging="200"/>
            </w:pPr>
            <w:r>
              <w:rPr>
                <w:b/>
                <w:bCs/>
                <w:color w:val="8186EF"/>
                <w:sz w:val="18"/>
                <w:szCs w:val="18"/>
              </w:rPr>
              <w:t xml:space="preserve">C. </w:t>
            </w:r>
            <w:r>
              <w:rPr>
                <w:sz w:val="18"/>
                <w:szCs w:val="18"/>
              </w:rPr>
              <w:t xml:space="preserve">Fair value</w:t>
            </w:r>
          </w:p>
          <w:p>
            <w:pPr>
              <w:spacing w:after="16"/>
              <w:ind w:left="500" w:hanging="200"/>
            </w:pPr>
            <w:r>
              <w:rPr>
                <w:b/>
                <w:bCs/>
                <w:color w:val="8186EF"/>
                <w:sz w:val="18"/>
                <w:szCs w:val="18"/>
              </w:rPr>
              <w:t xml:space="preserve">D. </w:t>
            </w:r>
            <w:r>
              <w:rPr>
                <w:sz w:val="18"/>
                <w:szCs w:val="18"/>
              </w:rPr>
              <w:t xml:space="preserve">Replacement cost always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 capitalized when criteria are met</w:t>
            </w:r>
          </w:p>
        </w:tc>
        <w:tc>
          <w:tcPr>
            <w:tcW w:type="pct" w:w="2400"/>
            <w:tcMar>
              <w:top w:type="dxa" w:w="50"/>
              <w:left w:type="dxa" w:w="110"/>
              <w:bottom w:type="dxa" w:w="50"/>
              <w:right w:type="dxa" w:w="110"/>
            </w:tcMar>
          </w:tcPr>
          <w:p>
            <w:pPr>
              <w:spacing w:before="26" w:after="26"/>
            </w:pPr>
            <w:r>
              <w:rPr>
                <w:color w:val="232733"/>
                <w:sz w:val="16"/>
                <w:szCs w:val="16"/>
              </w:rPr>
              <w:t xml:space="preserve">IFRS only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tested first with undiscounted cash flows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U.S. GAAP only</w:t>
            </w:r>
          </w:p>
        </w:tc>
      </w:tr>
      <w:tr>
        <w:tc>
          <w:tcPr>
            <w:tcW w:type="pct" w:w="2600"/>
            <w:tcMar>
              <w:top w:type="dxa" w:w="50"/>
              <w:left w:type="dxa" w:w="110"/>
              <w:bottom w:type="dxa" w:w="50"/>
              <w:right w:type="dxa" w:w="110"/>
            </w:tcMar>
          </w:tcPr>
          <w:p>
            <w:pPr>
              <w:spacing w:before="26" w:after="26"/>
            </w:pPr>
            <w:r>
              <w:rPr>
                <w:color w:val="232733"/>
                <w:sz w:val="16"/>
                <w:szCs w:val="16"/>
              </w:rPr>
              <w:t xml:space="preserve">A short-term lease exemption exists</w:t>
            </w:r>
          </w:p>
        </w:tc>
        <w:tc>
          <w:tcPr>
            <w:tcW w:type="pct" w:w="2400"/>
            <w:tcMar>
              <w:top w:type="dxa" w:w="50"/>
              <w:left w:type="dxa" w:w="110"/>
              <w:bottom w:type="dxa" w:w="50"/>
              <w:right w:type="dxa" w:w="110"/>
            </w:tcMar>
          </w:tcPr>
          <w:p>
            <w:pPr>
              <w:spacing w:before="26" w:after="26"/>
            </w:pPr>
            <w:r>
              <w:rPr>
                <w:color w:val="232733"/>
                <w:sz w:val="16"/>
                <w:szCs w:val="16"/>
              </w:rPr>
              <w:t xml:space="preserve">Both</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 expensed immediately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 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8"/>
        <w:gridCol w:w="46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8"/>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remeasurements</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92"/>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8"/>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answer does the book give for Development costs capitalized when criteria are met?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U.S. GAAP only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IFRS only</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16.  </w:t>
      </w:r>
      <w:r>
        <w:rPr>
          <w:sz w:val="19"/>
          <w:szCs w:val="19"/>
        </w:rPr>
        <w:t xml:space="preserve">Which answer does the book give for Impairment tested first with undiscounted cash flows?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U.S. GAAP only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IFRS only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Both</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17.  </w:t>
      </w:r>
      <w:r>
        <w:rPr>
          <w:sz w:val="19"/>
          <w:szCs w:val="19"/>
        </w:rPr>
        <w:t xml:space="preserve">Which answer does the book give for A short-term lease exemption exists?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U.S. GAAP only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IFRS only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Both</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An IFRS company holds an office building to earn rent. It may measure the building:</w:t>
      </w:r>
    </w:p>
    <w:p>
      <w:pPr>
        <w:spacing w:after="18"/>
        <w:ind w:left="560" w:hanging="260"/>
      </w:pPr>
      <w:r>
        <w:rPr>
          <w:b/>
          <w:bCs/>
          <w:color w:val="8186EF"/>
          <w:sz w:val="18"/>
          <w:szCs w:val="18"/>
        </w:rPr>
        <w:t xml:space="preserve">A. </w:t>
      </w:r>
      <w:r>
        <w:rPr>
          <w:sz w:val="18"/>
          <w:szCs w:val="18"/>
        </w:rPr>
        <w:t xml:space="preserve">only at cost</w:t>
      </w:r>
    </w:p>
    <w:p>
      <w:pPr>
        <w:spacing w:after="18"/>
        <w:ind w:left="560" w:hanging="260"/>
      </w:pPr>
      <w:r>
        <w:rPr>
          <w:b/>
          <w:bCs/>
          <w:color w:val="8186EF"/>
          <w:sz w:val="18"/>
          <w:szCs w:val="18"/>
        </w:rPr>
        <w:t xml:space="preserve">B. </w:t>
      </w:r>
      <w:r>
        <w:rPr>
          <w:sz w:val="18"/>
          <w:szCs w:val="18"/>
        </w:rPr>
        <w:t xml:space="preserve">only at fair value through OCI</w:t>
      </w:r>
    </w:p>
    <w:p>
      <w:pPr>
        <w:spacing w:after="18"/>
        <w:ind w:left="560" w:hanging="260"/>
      </w:pPr>
      <w:r>
        <w:rPr>
          <w:b/>
          <w:bCs/>
          <w:color w:val="8186EF"/>
          <w:sz w:val="18"/>
          <w:szCs w:val="18"/>
        </w:rPr>
        <w:t xml:space="preserve">C. </w:t>
      </w:r>
      <w:r>
        <w:rPr>
          <w:sz w:val="18"/>
          <w:szCs w:val="18"/>
        </w:rPr>
        <w:t xml:space="preserve">at replacement cost</w:t>
      </w:r>
    </w:p>
    <w:p>
      <w:pPr>
        <w:spacing w:after="18"/>
        <w:ind w:left="560" w:hanging="260"/>
      </w:pPr>
      <w:r>
        <w:rPr>
          <w:b/>
          <w:bCs/>
          <w:color w:val="8186EF"/>
          <w:sz w:val="18"/>
          <w:szCs w:val="18"/>
        </w:rPr>
        <w:t xml:space="preserve">D. </w:t>
      </w:r>
      <w:r>
        <w:rPr>
          <w:sz w:val="18"/>
          <w:szCs w:val="18"/>
        </w:rPr>
        <w:t xml:space="preserve">at fair value through profit or loss, or at cost (IAS 40)</w:t>
      </w:r>
    </w:p>
    <w:p>
      <w:pPr>
        <w:spacing w:before="40" w:after="16"/>
        <w:ind w:left="300" w:hanging="300"/>
      </w:pPr>
      <w:r>
        <w:rPr>
          <w:b/>
          <w:bCs/>
          <w:color w:val="353A7C"/>
          <w:sz w:val="19"/>
          <w:szCs w:val="19"/>
        </w:rPr>
        <w:t xml:space="preserve">19.  </w:t>
      </w:r>
      <w:r>
        <w:rPr>
          <w:sz w:val="19"/>
          <w:szCs w:val="19"/>
        </w:rPr>
        <w:t xml:space="preserve">Under U.S. GAAP, which measure is compared with the carrying amount in the first step of an impairment test for a held-and-used asset group?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Undiscounted future cash flows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Recoverable amount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Value in use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Fair value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1421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revaluation surplus  ·  remeasurements  ·  component depreciation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17.3</w:t>
      </w:r>
    </w:p>
    <w:p>
      <w:pPr>
        <w:spacing w:after="8"/>
      </w:pPr>
      <w:r>
        <w:rPr>
          <w:color w:val="23265A"/>
          <w:sz w:val="22"/>
          <w:szCs w:val="22"/>
        </w:rPr>
        <w:t xml:space="preserve">(iii) Inventories</w:t>
      </w:r>
    </w:p>
    <w:p>
      <w:pPr>
        <w:spacing w:after="130"/>
      </w:pPr>
      <w:r>
        <w:rPr>
          <w:color w:val="6B7280"/>
          <w:sz w:val="20"/>
          <w:szCs w:val="20"/>
        </w:rPr>
        <w:t xml:space="preserve">section 17.3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62"/>
        <w:gridCol w:w="2546"/>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7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26"/>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74"/>
            <w:tcMar>
              <w:top w:type="dxa" w:w="50"/>
              <w:left w:type="dxa" w:w="110"/>
              <w:bottom w:type="dxa" w:w="50"/>
              <w:right w:type="dxa" w:w="110"/>
            </w:tcMar>
          </w:tcPr>
          <w:p>
            <w:pPr>
              <w:spacing w:before="26" w:after="26"/>
            </w:pPr>
            <w:r>
              <w:rPr>
                <w:color w:val="232733"/>
                <w:sz w:val="16"/>
                <w:szCs w:val="16"/>
              </w:rPr>
              <w:t xml:space="preserve">(iii) Inventories</w:t>
            </w:r>
          </w:p>
        </w:tc>
        <w:tc>
          <w:tcPr>
            <w:tcW w:type="pct" w:w="1326"/>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600"/>
            <w:tcMar>
              <w:top w:type="dxa" w:w="50"/>
              <w:left w:type="dxa" w:w="110"/>
              <w:bottom w:type="dxa" w:w="50"/>
              <w:right w:type="dxa" w:w="110"/>
            </w:tcMar>
          </w:tcPr>
          <w:p>
            <w:pPr>
              <w:spacing w:before="26" w:after="26"/>
            </w:pPr>
            <w:r>
              <w:rPr>
                <w:color w:val="232733"/>
                <w:sz w:val="16"/>
                <w:szCs w:val="16"/>
              </w:rPr>
              <w:t xml:space="preserve">An asset has a carrying amount of $500,000, fair value less costs of disposal of $420,000 and value in use of $460,000. What is the IFRS impairment loss?</w:t>
            </w:r>
          </w:p>
        </w:tc>
      </w:tr>
      <w:tr>
        <w:tc>
          <w:tcPr>
            <w:tcW w:type="pct" w:w="107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26"/>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graded vesting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frameworks   ·   statements   ·   recoverability test   ·   financial   ·   value in use</w:t>
      </w:r>
    </w:p>
    <w:p>
      <w:pPr>
        <w:spacing w:before="36" w:after="36"/>
        <w:ind w:left="300"/>
      </w:pPr>
      <w:r>
        <w:rPr>
          <w:sz w:val="19"/>
          <w:szCs w:val="19"/>
        </w:rPr>
        <w:t xml:space="preserve">GAAP allows it, and companies that use LIFO for tax must also use it in their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Chapter 7 showed how LIFO changes cost of goods sold when prices rise. Both </w:t>
      </w:r>
      <w:r>
        <w:rPr>
          <w:u w:val="single"/>
          <w:sz w:val="19"/>
          <w:szCs w:val="19"/>
        </w:rPr>
        <w:t xml:space="preserve">            </w:t>
      </w:r>
      <w:r>
        <w:rPr>
          <w:sz w:val="19"/>
          <w:szCs w:val="19"/>
        </w:rPr>
        <w:t xml:space="preserve"> write inventory down when its value falls below cost.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inventory   ·   recoverability test   ·   recovers   ·   value in use   ·   difference</w:t>
      </w:r>
    </w:p>
    <w:p>
      <w:pPr>
        <w:spacing w:before="36" w:after="36"/>
        <w:ind w:left="300"/>
      </w:pPr>
      <w:r>
        <w:rPr>
          <w:sz w:val="19"/>
          <w:szCs w:val="19"/>
        </w:rPr>
        <w:t xml:space="preserve">IAS 2 uses the lower of cost and NRV for all </w:t>
      </w:r>
      <w:r>
        <w:rPr>
          <w:u w:val="single"/>
          <w:sz w:val="19"/>
          <w:szCs w:val="19"/>
        </w:rPr>
        <w:t xml:space="preserve">           </w:t>
      </w:r>
      <w:r>
        <w:rPr>
          <w:sz w:val="19"/>
          <w:szCs w:val="19"/>
        </w:rPr>
        <w:t xml:space="preserve">. GAAP uses lower of cost and NRV for FIFO and average cost, but lower of cost or market for LIFO and the retail method. The key </w:t>
      </w:r>
      <w:r>
        <w:rPr>
          <w:u w:val="single"/>
          <w:sz w:val="19"/>
          <w:szCs w:val="19"/>
        </w:rPr>
        <w:t xml:space="preserve">            </w:t>
      </w:r>
      <w:r>
        <w:rPr>
          <w:sz w:val="19"/>
          <w:szCs w:val="19"/>
        </w:rPr>
        <w:t xml:space="preserve"> comes when value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value in use   ·   write-down   ·   recoverability test   ·   Inventory</w:t>
      </w:r>
    </w:p>
    <w:p>
      <w:pPr>
        <w:spacing w:before="36" w:after="36"/>
        <w:ind w:left="300"/>
      </w:pPr>
      <w:r>
        <w:rPr>
          <w:sz w:val="19"/>
          <w:szCs w:val="19"/>
        </w:rPr>
        <w:t xml:space="preserve">IFRS reverses the </w:t>
      </w:r>
      <w:r>
        <w:rPr>
          <w:u w:val="single"/>
          <w:sz w:val="19"/>
          <w:szCs w:val="19"/>
        </w:rPr>
        <w:t xml:space="preserve">            </w:t>
      </w:r>
      <w:r>
        <w:rPr>
          <w:sz w:val="19"/>
          <w:szCs w:val="19"/>
        </w:rPr>
        <w:t xml:space="preserve">, but never above the original cost. </w:t>
      </w:r>
      <w:r>
        <w:rPr>
          <w:u w:val="single"/>
          <w:sz w:val="19"/>
          <w:szCs w:val="19"/>
        </w:rPr>
        <w:t xml:space="preserve">           </w:t>
      </w:r>
      <w:r>
        <w:rPr>
          <w:sz w:val="19"/>
          <w:szCs w:val="19"/>
        </w:rPr>
        <w:t xml:space="preserve"> write-down and recovery: IFRS reverses, U.S. French stocks means inventory, not shares.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(iii) Inventories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L1 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L2 Write-down reversal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L3 Land revaluation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L4 Fleet impairment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L5 Truck lease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17.2?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spacing w:before="40" w:after="16"/>
        <w:ind w:left="300" w:hanging="300"/>
      </w:pPr>
      <w:r>
        <w:rPr>
          <w:b/>
          <w:bCs/>
          <w:color w:val="353A7C"/>
          <w:sz w:val="19"/>
          <w:szCs w:val="19"/>
        </w:rPr>
        <w:t xml:space="preserve">6.  </w:t>
      </w:r>
      <w:r>
        <w:rPr>
          <w:sz w:val="19"/>
          <w:szCs w:val="19"/>
        </w:rPr>
        <w:t xml:space="preserve">Which part of this chapter is section 17.3?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(iii) Inventories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 Intangible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(vi) Impairment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(v) Long-lived assets</w:t>
            </w:r>
          </w:p>
        </w:tc>
      </w:tr>
    </w:tbl>
    <w:p>
      <w:pPr>
        <w:spacing w:before="40" w:after="16"/>
        <w:ind w:left="300" w:hanging="300"/>
      </w:pPr>
      <w:r>
        <w:rPr>
          <w:b/>
          <w:bCs/>
          <w:color w:val="353A7C"/>
          <w:sz w:val="19"/>
          <w:szCs w:val="19"/>
        </w:rPr>
        <w:t xml:space="preserve">7.  </w:t>
      </w:r>
      <w:r>
        <w:rPr>
          <w:sz w:val="19"/>
          <w:szCs w:val="19"/>
        </w:rPr>
        <w:t xml:space="preserve">Which part of this chapter is section 17.4?</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spacing w:before="40" w:after="16"/>
        <w:ind w:left="300" w:hanging="300"/>
      </w:pPr>
      <w:r>
        <w:rPr>
          <w:b/>
          <w:bCs/>
          <w:color w:val="353A7C"/>
          <w:sz w:val="19"/>
          <w:szCs w:val="19"/>
        </w:rPr>
        <w:t xml:space="preserve">8.  </w:t>
      </w:r>
      <w:r>
        <w:rPr>
          <w:sz w:val="19"/>
          <w:szCs w:val="19"/>
        </w:rPr>
        <w:t xml:space="preserve">Which part of this chapter is section 17.5?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(v) Long-lived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(iii) Inventories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An asset has a carrying amount of $500,000, fair value less costs of disposal of $420,000 and value in use of $460,000. What is the IFRS impairment loss?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$80,000</w:t>
            </w:r>
          </w:p>
        </w:tc>
      </w:tr>
    </w:tbl>
    <w:p>
      <w:pPr>
        <w:spacing w:before="40" w:after="16"/>
        <w:ind w:left="300" w:hanging="300"/>
      </w:pPr>
      <w:r>
        <w:rPr>
          <w:b/>
          <w:bCs/>
          <w:color w:val="353A7C"/>
          <w:sz w:val="19"/>
          <w:szCs w:val="19"/>
        </w:rPr>
        <w:t xml:space="preserve">10.  </w:t>
      </w:r>
      <w:r>
        <w:rPr>
          <w:sz w:val="19"/>
          <w:szCs w:val="19"/>
        </w:rPr>
        <w:t xml:space="preserve">Goodwill was impaired last year. This year the cash-generating unit recovers. Under IFRS, the goodwill impairment 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reversed in full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reversed through OCI</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reversed up to original cost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never reversed</w:t>
            </w:r>
          </w:p>
        </w:tc>
      </w:tr>
    </w:tbl>
    <w:p>
      <w:pPr>
        <w:spacing w:before="40" w:after="16"/>
        <w:ind w:left="300" w:hanging="300"/>
      </w:pPr>
      <w:r>
        <w:rPr>
          <w:b/>
          <w:bCs/>
          <w:color w:val="353A7C"/>
          <w:sz w:val="19"/>
          <w:szCs w:val="19"/>
        </w:rPr>
        <w:t xml:space="preserve">11.  </w:t>
      </w:r>
      <w:r>
        <w:rPr>
          <w:sz w:val="19"/>
          <w:szCs w:val="19"/>
        </w:rPr>
        <w:t xml:space="preserve">What is the IFRS equivalent of a U.S. 'asset group' in impairment testing?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 reporting unit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 disposal group</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cash-generating unit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 component of an entity</w:t>
            </w:r>
          </w:p>
        </w:tc>
      </w:tr>
    </w:tbl>
    <w:p>
      <w:pPr>
        <w:spacing w:before="40" w:after="16"/>
        <w:ind w:left="300" w:hanging="300"/>
      </w:pPr>
      <w:r>
        <w:rPr>
          <w:b/>
          <w:bCs/>
          <w:color w:val="353A7C"/>
          <w:sz w:val="19"/>
          <w:szCs w:val="19"/>
        </w:rPr>
        <w:t xml:space="preserve">12.  </w:t>
      </w:r>
      <w:r>
        <w:rPr>
          <w:sz w:val="19"/>
          <w:szCs w:val="19"/>
        </w:rPr>
        <w:t xml:space="preserve">Which pair shows a correct difference?</w:t>
      </w:r>
    </w:p>
    <w:p>
      <w:pPr>
        <w:spacing w:after="18"/>
        <w:ind w:left="560" w:hanging="260"/>
      </w:pPr>
      <w:r>
        <w:rPr>
          <w:b/>
          <w:bCs/>
          <w:color w:val="8186EF"/>
          <w:sz w:val="18"/>
          <w:szCs w:val="18"/>
        </w:rPr>
        <w:t xml:space="preserve">A. </w:t>
      </w:r>
      <w:r>
        <w:rPr>
          <w:sz w:val="18"/>
          <w:szCs w:val="18"/>
        </w:rPr>
        <w:t xml:space="preserve">U.S.: research and development expensed; IFRS: development capitalized when criteria are met</w:t>
      </w:r>
    </w:p>
    <w:p>
      <w:pPr>
        <w:spacing w:after="18"/>
        <w:ind w:left="560" w:hanging="260"/>
      </w:pPr>
      <w:r>
        <w:rPr>
          <w:b/>
          <w:bCs/>
          <w:color w:val="8186EF"/>
          <w:sz w:val="18"/>
          <w:szCs w:val="18"/>
        </w:rPr>
        <w:t xml:space="preserve">B. </w:t>
      </w:r>
      <w:r>
        <w:rPr>
          <w:sz w:val="18"/>
          <w:szCs w:val="18"/>
        </w:rPr>
        <w:t xml:space="preserve">U.S.: development capitalized; IFRS: expensed</w:t>
      </w:r>
    </w:p>
    <w:p>
      <w:pPr>
        <w:spacing w:after="18"/>
        <w:ind w:left="560" w:hanging="260"/>
      </w:pPr>
      <w:r>
        <w:rPr>
          <w:b/>
          <w:bCs/>
          <w:color w:val="8186EF"/>
          <w:sz w:val="18"/>
          <w:szCs w:val="18"/>
        </w:rPr>
        <w:t xml:space="preserve">C. </w:t>
      </w:r>
      <w:r>
        <w:rPr>
          <w:sz w:val="18"/>
          <w:szCs w:val="18"/>
        </w:rPr>
        <w:t xml:space="preserve">Both capitalize research</w:t>
      </w:r>
    </w:p>
    <w:p>
      <w:pPr>
        <w:spacing w:after="18"/>
        <w:ind w:left="560" w:hanging="260"/>
      </w:pPr>
      <w:r>
        <w:rPr>
          <w:b/>
          <w:bCs/>
          <w:color w:val="8186EF"/>
          <w:sz w:val="18"/>
          <w:szCs w:val="18"/>
        </w:rPr>
        <w:t xml:space="preserve">D. </w:t>
      </w:r>
      <w:r>
        <w:rPr>
          <w:sz w:val="18"/>
          <w:szCs w:val="18"/>
        </w:rPr>
        <w:t xml:space="preserve">Both expense all software costs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An asset has a carrying amount of $500,000, fair value less costs of disposal of $420,000 and value in use of $460,000. What is the IFRS impairment loss?</w:t>
            </w:r>
          </w:p>
          <w:p>
            <w:pPr>
              <w:spacing w:after="16"/>
              <w:ind w:left="500" w:hanging="200"/>
            </w:pPr>
            <w:r>
              <w:rPr>
                <w:b/>
                <w:bCs/>
                <w:color w:val="8186EF"/>
                <w:sz w:val="18"/>
                <w:szCs w:val="18"/>
              </w:rPr>
              <w:t xml:space="preserve">A. </w:t>
            </w:r>
            <w:r>
              <w:rPr>
                <w:sz w:val="18"/>
                <w:szCs w:val="18"/>
              </w:rPr>
              <w:t xml:space="preserve">$0</w:t>
            </w:r>
          </w:p>
          <w:p>
            <w:pPr>
              <w:spacing w:after="16"/>
              <w:ind w:left="500" w:hanging="200"/>
            </w:pPr>
            <w:r>
              <w:rPr>
                <w:b/>
                <w:bCs/>
                <w:color w:val="8186EF"/>
                <w:sz w:val="18"/>
                <w:szCs w:val="18"/>
              </w:rPr>
              <w:t xml:space="preserve">B. </w:t>
            </w:r>
            <w:r>
              <w:rPr>
                <w:sz w:val="18"/>
                <w:szCs w:val="18"/>
              </w:rPr>
              <w:t xml:space="preserve">$40,000</w:t>
            </w:r>
          </w:p>
          <w:p>
            <w:pPr>
              <w:spacing w:after="16"/>
              <w:ind w:left="500" w:hanging="200"/>
            </w:pPr>
            <w:r>
              <w:rPr>
                <w:b/>
                <w:bCs/>
                <w:color w:val="8186EF"/>
                <w:sz w:val="18"/>
                <w:szCs w:val="18"/>
              </w:rPr>
              <w:t xml:space="preserve">C. </w:t>
            </w:r>
            <w:r>
              <w:rPr>
                <w:sz w:val="18"/>
                <w:szCs w:val="18"/>
              </w:rPr>
              <w:t xml:space="preserve">$60,000</w:t>
            </w:r>
          </w:p>
          <w:p>
            <w:pPr>
              <w:spacing w:after="16"/>
              <w:ind w:left="500" w:hanging="200"/>
            </w:pPr>
            <w:r>
              <w:rPr>
                <w:b/>
                <w:bCs/>
                <w:color w:val="8186EF"/>
                <w:sz w:val="18"/>
                <w:szCs w:val="18"/>
              </w:rPr>
              <w:t xml:space="preserve">D. </w:t>
            </w:r>
            <w:r>
              <w:rPr>
                <w:sz w:val="18"/>
                <w:szCs w:val="18"/>
              </w:rPr>
              <w:t xml:space="preserve">$80,000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development costs</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graded vesting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18.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development costs  ·  graded vesting  ·  fair value less costs of disposal</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17.4</w:t>
      </w:r>
    </w:p>
    <w:p>
      <w:pPr>
        <w:spacing w:after="8"/>
      </w:pPr>
      <w:r>
        <w:rPr>
          <w:color w:val="23265A"/>
          <w:sz w:val="22"/>
          <w:szCs w:val="22"/>
        </w:rPr>
        <w:t xml:space="preserve">(iv) Leases: the lessee</w:t>
      </w:r>
    </w:p>
    <w:p>
      <w:pPr>
        <w:spacing w:after="130"/>
      </w:pPr>
      <w:r>
        <w:rPr>
          <w:color w:val="6B7280"/>
          <w:sz w:val="20"/>
          <w:szCs w:val="20"/>
        </w:rPr>
        <w:t xml:space="preserve">section 17.4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2"/>
        <w:gridCol w:w="2875"/>
        <w:gridCol w:w="449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4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3"/>
            <w:tcMar>
              <w:top w:type="dxa" w:w="50"/>
              <w:left w:type="dxa" w:w="110"/>
              <w:bottom w:type="dxa" w:w="50"/>
              <w:right w:type="dxa" w:w="110"/>
            </w:tcMar>
          </w:tcPr>
          <w:p>
            <w:pPr>
              <w:spacing w:before="26" w:after="26"/>
            </w:pPr>
            <w:r>
              <w:rPr>
                <w:color w:val="232733"/>
                <w:sz w:val="16"/>
                <w:szCs w:val="16"/>
              </w:rPr>
              <w:t xml:space="preserve">(iv) Leases: the lessee</w:t>
            </w:r>
          </w:p>
        </w:tc>
        <w:tc>
          <w:tcPr>
            <w:tcW w:type="pct" w:w="1497"/>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34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7"/>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4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value in use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depreciation   ·   right-of-use   ·   interest   ·   recoverable amount   ·   recoverability test</w:t>
      </w:r>
    </w:p>
    <w:p>
      <w:pPr>
        <w:spacing w:before="36" w:after="36"/>
        <w:ind w:left="300"/>
      </w:pPr>
      <w:r>
        <w:rPr>
          <w:sz w:val="19"/>
          <w:szCs w:val="19"/>
        </w:rPr>
        <w:t xml:space="preserve">IFRS 16 has one lessee model: every lease is treated like a finance lease, with </w:t>
      </w:r>
      <w:r>
        <w:rPr>
          <w:u w:val="single"/>
          <w:sz w:val="19"/>
          <w:szCs w:val="19"/>
        </w:rPr>
        <w:t xml:space="preserve">              </w:t>
      </w:r>
      <w:r>
        <w:rPr>
          <w:sz w:val="19"/>
          <w:szCs w:val="19"/>
        </w:rPr>
        <w:t xml:space="preserve"> of the </w:t>
      </w:r>
      <w:r>
        <w:rPr>
          <w:u w:val="single"/>
          <w:sz w:val="19"/>
          <w:szCs w:val="19"/>
        </w:rPr>
        <w:t xml:space="preserve">              </w:t>
      </w:r>
      <w:r>
        <w:rPr>
          <w:sz w:val="19"/>
          <w:szCs w:val="19"/>
        </w:rPr>
        <w:t xml:space="preserve"> asset plus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right-of-use   ·   recoverable amount   ·   recoverability test   ·   straight-line   ·   depreciation</w:t>
      </w:r>
    </w:p>
    <w:p>
      <w:pPr>
        <w:spacing w:before="36" w:after="36"/>
        <w:ind w:left="300"/>
      </w:pPr>
      <w:r>
        <w:rPr>
          <w:sz w:val="19"/>
          <w:szCs w:val="19"/>
        </w:rPr>
        <w:t xml:space="preserve">IFRS 16 has one lessee model: every lease is treated like a finance lease, with </w:t>
      </w:r>
      <w:r>
        <w:rPr>
          <w:u w:val="single"/>
          <w:sz w:val="19"/>
          <w:szCs w:val="19"/>
        </w:rPr>
        <w:t xml:space="preserve">              </w:t>
      </w:r>
      <w:r>
        <w:rPr>
          <w:sz w:val="19"/>
          <w:szCs w:val="19"/>
        </w:rPr>
        <w:t xml:space="preserve"> of the </w:t>
      </w:r>
      <w:r>
        <w:rPr>
          <w:u w:val="single"/>
          <w:sz w:val="19"/>
          <w:szCs w:val="19"/>
        </w:rPr>
        <w:t xml:space="preserve">              </w:t>
      </w:r>
      <w:r>
        <w:rPr>
          <w:sz w:val="19"/>
          <w:szCs w:val="19"/>
        </w:rPr>
        <w:t xml:space="preserve"> asset plus interest. GAAP keeps two models, and an operating lease has one </w:t>
      </w:r>
      <w:r>
        <w:rPr>
          <w:u w:val="single"/>
          <w:sz w:val="19"/>
          <w:szCs w:val="19"/>
        </w:rPr>
        <w:t xml:space="preserve">               </w:t>
      </w:r>
      <w:r>
        <w:rPr>
          <w:sz w:val="19"/>
          <w:szCs w:val="19"/>
        </w:rPr>
        <w:t xml:space="preserve"> cost. For Orontes's warehouse from Chapter 14, U.S.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recoverability test   ·   Orontes's   ·   recoverable amount   ·   classifies   ·   remeasures</w:t>
      </w:r>
    </w:p>
    <w:p>
      <w:pPr>
        <w:spacing w:before="36" w:after="36"/>
        <w:ind w:left="300"/>
      </w:pPr>
      <w:r>
        <w:rPr>
          <w:sz w:val="19"/>
          <w:szCs w:val="19"/>
        </w:rPr>
        <w:t xml:space="preserve">For </w:t>
      </w:r>
      <w:r>
        <w:rPr>
          <w:u w:val="single"/>
          <w:sz w:val="19"/>
          <w:szCs w:val="19"/>
        </w:rPr>
        <w:t xml:space="preserve">           </w:t>
      </w:r>
      <w:r>
        <w:rPr>
          <w:sz w:val="19"/>
          <w:szCs w:val="19"/>
        </w:rPr>
        <w:t xml:space="preserve"> warehouse from Chapter 14, U.S. Over the whole lease, total expense is the same. IFRS 16 also allows an exemption for low-value assets, </w:t>
      </w:r>
      <w:r>
        <w:rPr>
          <w:u w:val="single"/>
          <w:sz w:val="19"/>
          <w:szCs w:val="19"/>
        </w:rPr>
        <w:t xml:space="preserve">            </w:t>
      </w:r>
      <w:r>
        <w:rPr>
          <w:sz w:val="19"/>
          <w:szCs w:val="19"/>
        </w:rPr>
        <w:t xml:space="preserve"> the liability when an index such as CPI changes, and </w:t>
      </w:r>
      <w:r>
        <w:rPr>
          <w:u w:val="single"/>
          <w:sz w:val="19"/>
          <w:szCs w:val="19"/>
        </w:rPr>
        <w:t xml:space="preserve">            </w:t>
      </w:r>
      <w:r>
        <w:rPr>
          <w:sz w:val="19"/>
          <w:szCs w:val="19"/>
        </w:rPr>
        <w:t xml:space="preserve"> lease principal as financing.</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(iv) Leases: the lessee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U.S. GAAP (ASC 842) of Lessee models as “Two: finance and operating”.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90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9082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79"/>
        <w:gridCol w:w="2726"/>
        <w:gridCol w:w="36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56"/>
            <w:tcMar>
              <w:top w:type="dxa" w:w="50"/>
              <w:left w:type="dxa" w:w="110"/>
              <w:bottom w:type="dxa" w:w="50"/>
              <w:right w:type="dxa" w:w="110"/>
            </w:tcMar>
          </w:tcPr>
          <w:p>
            <w:pPr>
              <w:spacing w:before="26" w:after="26"/>
            </w:pPr>
            <w:r>
              <w:rPr>
                <w:b/>
                <w:bCs/>
                <w:color w:val="353A7C"/>
                <w:sz w:val="15"/>
                <w:szCs w:val="15"/>
              </w:rPr>
              <w:t xml:space="preserve">Topic</w:t>
            </w:r>
          </w:p>
        </w:tc>
        <w:tc>
          <w:tcPr>
            <w:tcW w:type="pct" w:w="1420"/>
            <w:tcMar>
              <w:top w:type="dxa" w:w="50"/>
              <w:left w:type="dxa" w:w="110"/>
              <w:bottom w:type="dxa" w:w="50"/>
              <w:right w:type="dxa" w:w="110"/>
            </w:tcMar>
          </w:tcPr>
          <w:p>
            <w:pPr>
              <w:spacing w:before="26" w:after="26"/>
            </w:pPr>
            <w:r>
              <w:rPr>
                <w:b/>
                <w:bCs/>
                <w:color w:val="353A7C"/>
                <w:sz w:val="15"/>
                <w:szCs w:val="15"/>
              </w:rPr>
              <w:t xml:space="preserve">U.S. GAAP (ASC 842)</w:t>
            </w:r>
          </w:p>
        </w:tc>
        <w:tc>
          <w:tcPr>
            <w:tcW w:type="pct" w:w="1924"/>
            <w:tcMar>
              <w:top w:type="dxa" w:w="50"/>
              <w:left w:type="dxa" w:w="110"/>
              <w:bottom w:type="dxa" w:w="50"/>
              <w:right w:type="dxa" w:w="110"/>
            </w:tcMar>
          </w:tcPr>
          <w:p>
            <w:pPr>
              <w:spacing w:before="26" w:after="26"/>
            </w:pPr>
            <w:r>
              <w:rPr>
                <w:b/>
                <w:bCs/>
                <w:color w:val="353A7C"/>
                <w:sz w:val="15"/>
                <w:szCs w:val="15"/>
              </w:rPr>
              <w:t xml:space="preserve">IFRS 16</w:t>
            </w:r>
          </w:p>
        </w:tc>
      </w:tr>
      <w:tr>
        <w:tc>
          <w:tcPr>
            <w:tcW w:type="pct" w:w="1656"/>
            <w:tcMar>
              <w:top w:type="dxa" w:w="50"/>
              <w:left w:type="dxa" w:w="110"/>
              <w:bottom w:type="dxa" w:w="50"/>
              <w:right w:type="dxa" w:w="110"/>
            </w:tcMar>
          </w:tcPr>
          <w:p>
            <w:pPr>
              <w:spacing w:before="26" w:after="26"/>
            </w:pPr>
            <w:r>
              <w:rPr>
                <w:color w:val="232733"/>
                <w:sz w:val="16"/>
                <w:szCs w:val="16"/>
              </w:rPr>
              <w:t xml:space="preserve">Lessee models</w:t>
            </w:r>
          </w:p>
        </w:tc>
        <w:tc>
          <w:tcPr>
            <w:tcW w:type="pct" w:w="1420"/>
            <w:tcMar>
              <w:top w:type="dxa" w:w="50"/>
              <w:left w:type="dxa" w:w="110"/>
              <w:bottom w:type="dxa" w:w="50"/>
              <w:right w:type="dxa" w:w="110"/>
            </w:tcMar>
          </w:tcPr>
          <w:p>
            <w:pPr>
              <w:spacing w:before="26" w:after="26"/>
            </w:pPr>
            <w:r>
              <w:rPr>
                <w:color w:val="232733"/>
                <w:sz w:val="16"/>
                <w:szCs w:val="16"/>
              </w:rPr>
              <w:t xml:space="preserve">Two: finance and operating</w:t>
            </w:r>
          </w:p>
        </w:tc>
        <w:tc>
          <w:tcPr>
            <w:tcW w:type="pct" w:w="1924"/>
            <w:tcMar>
              <w:top w:type="dxa" w:w="50"/>
              <w:left w:type="dxa" w:w="110"/>
              <w:bottom w:type="dxa" w:w="50"/>
              <w:right w:type="dxa" w:w="110"/>
            </w:tcMar>
          </w:tcPr>
          <w:p>
            <w:pPr>
              <w:spacing w:before="26" w:after="26"/>
            </w:pPr>
            <w:r>
              <w:rPr>
                <w:color w:val="232733"/>
                <w:sz w:val="16"/>
                <w:szCs w:val="16"/>
              </w:rPr>
              <w:t xml:space="preserve">One: all leases like finance leases</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Warehouse lease, 2026 expense (Chapter 14)</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One straight-line lease cost: 100,000</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Depreciation 84,247 + interest 25,274 = 109,521</w:t>
            </w:r>
          </w:p>
        </w:tc>
      </w:tr>
      <w:tr>
        <w:tc>
          <w:tcPr>
            <w:tcW w:type="pct" w:w="1656"/>
            <w:tcMar>
              <w:top w:type="dxa" w:w="50"/>
              <w:left w:type="dxa" w:w="110"/>
              <w:bottom w:type="dxa" w:w="50"/>
              <w:right w:type="dxa" w:w="110"/>
            </w:tcMar>
          </w:tcPr>
          <w:p>
            <w:pPr>
              <w:spacing w:before="26" w:after="26"/>
            </w:pPr>
            <w:r>
              <w:rPr>
                <w:color w:val="232733"/>
                <w:sz w:val="16"/>
                <w:szCs w:val="16"/>
              </w:rPr>
              <w:t xml:space="preserve">Low-value assets</w:t>
            </w:r>
          </w:p>
        </w:tc>
        <w:tc>
          <w:tcPr>
            <w:tcW w:type="pct" w:w="1420"/>
            <w:tcMar>
              <w:top w:type="dxa" w:w="50"/>
              <w:left w:type="dxa" w:w="110"/>
              <w:bottom w:type="dxa" w:w="50"/>
              <w:right w:type="dxa" w:w="110"/>
            </w:tcMar>
          </w:tcPr>
          <w:p>
            <w:pPr>
              <w:spacing w:before="26" w:after="26"/>
            </w:pPr>
            <w:r>
              <w:rPr>
                <w:color w:val="232733"/>
                <w:sz w:val="16"/>
                <w:szCs w:val="16"/>
              </w:rPr>
              <w:t xml:space="preserve">No exemption</w:t>
            </w:r>
          </w:p>
        </w:tc>
        <w:tc>
          <w:tcPr>
            <w:tcW w:type="pct" w:w="1924"/>
            <w:tcMar>
              <w:top w:type="dxa" w:w="50"/>
              <w:left w:type="dxa" w:w="110"/>
              <w:bottom w:type="dxa" w:w="50"/>
              <w:right w:type="dxa" w:w="110"/>
            </w:tcMar>
          </w:tcPr>
          <w:p>
            <w:pPr>
              <w:spacing w:before="26" w:after="26"/>
            </w:pPr>
            <w:r>
              <w:rPr>
                <w:color w:val="232733"/>
                <w:sz w:val="16"/>
                <w:szCs w:val="16"/>
              </w:rPr>
              <w:t xml:space="preserve">Exemption allowed</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Index-linked payments (CPI)</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Not remeasured</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Liability remeasured</w:t>
            </w:r>
          </w:p>
        </w:tc>
      </w:tr>
      <w:tr>
        <w:tc>
          <w:tcPr>
            <w:tcW w:type="pct" w:w="1656"/>
            <w:tcMar>
              <w:top w:type="dxa" w:w="50"/>
              <w:left w:type="dxa" w:w="110"/>
              <w:bottom w:type="dxa" w:w="50"/>
              <w:right w:type="dxa" w:w="110"/>
            </w:tcMar>
          </w:tcPr>
          <w:p>
            <w:pPr>
              <w:spacing w:before="26" w:after="26"/>
            </w:pPr>
            <w:r>
              <w:rPr>
                <w:color w:val="232733"/>
                <w:sz w:val="16"/>
                <w:szCs w:val="16"/>
              </w:rPr>
              <w:t xml:space="preserve">Cash flow: operating-lease payment</w:t>
            </w:r>
          </w:p>
        </w:tc>
        <w:tc>
          <w:tcPr>
            <w:tcW w:type="pct" w:w="1420"/>
            <w:tcMar>
              <w:top w:type="dxa" w:w="50"/>
              <w:left w:type="dxa" w:w="110"/>
              <w:bottom w:type="dxa" w:w="50"/>
              <w:right w:type="dxa" w:w="110"/>
            </w:tcMar>
          </w:tcPr>
          <w:p>
            <w:pPr>
              <w:spacing w:before="26" w:after="26"/>
            </w:pPr>
            <w:r>
              <w:rPr>
                <w:color w:val="232733"/>
                <w:sz w:val="16"/>
                <w:szCs w:val="16"/>
              </w:rPr>
              <w:t xml:space="preserve">Operating</w:t>
            </w:r>
          </w:p>
        </w:tc>
        <w:tc>
          <w:tcPr>
            <w:tcW w:type="pct" w:w="1924"/>
            <w:tcMar>
              <w:top w:type="dxa" w:w="50"/>
              <w:left w:type="dxa" w:w="110"/>
              <w:bottom w:type="dxa" w:w="50"/>
              <w:right w:type="dxa" w:w="110"/>
            </w:tcMar>
          </w:tcPr>
          <w:p>
            <w:pPr>
              <w:spacing w:before="26" w:after="26"/>
            </w:pPr>
            <w:r>
              <w:rPr>
                <w:color w:val="232733"/>
                <w:sz w:val="16"/>
                <w:szCs w:val="16"/>
              </w:rPr>
              <w:t xml:space="preserve">Principal: financing; interest: by policy</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Sale and leaseback gain</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Full gain if a sale</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Gain only on the rights transferred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“Two: finance and operating”?</w:t>
      </w:r>
    </w:p>
    <w:p>
      <w:pPr>
        <w:spacing w:after="18"/>
        <w:ind w:left="560" w:hanging="260"/>
      </w:pPr>
      <w:r>
        <w:rPr>
          <w:b/>
          <w:bCs/>
          <w:color w:val="8186EF"/>
          <w:sz w:val="18"/>
          <w:szCs w:val="18"/>
        </w:rPr>
        <w:t xml:space="preserve">A. </w:t>
      </w:r>
      <w:r>
        <w:rPr>
          <w:sz w:val="18"/>
          <w:szCs w:val="18"/>
        </w:rPr>
        <w:t xml:space="preserve">Warehouse lease, 2026 expense (Chapter 14)</w:t>
      </w:r>
    </w:p>
    <w:p>
      <w:pPr>
        <w:spacing w:after="18"/>
        <w:ind w:left="560" w:hanging="260"/>
      </w:pPr>
      <w:r>
        <w:rPr>
          <w:b/>
          <w:bCs/>
          <w:color w:val="8186EF"/>
          <w:sz w:val="18"/>
          <w:szCs w:val="18"/>
        </w:rPr>
        <w:t xml:space="preserve">B. </w:t>
      </w:r>
      <w:r>
        <w:rPr>
          <w:sz w:val="18"/>
          <w:szCs w:val="18"/>
        </w:rPr>
        <w:t xml:space="preserve">Lessee models</w:t>
      </w:r>
    </w:p>
    <w:p>
      <w:pPr>
        <w:spacing w:after="18"/>
        <w:ind w:left="560" w:hanging="260"/>
      </w:pPr>
      <w:r>
        <w:rPr>
          <w:b/>
          <w:bCs/>
          <w:color w:val="8186EF"/>
          <w:sz w:val="18"/>
          <w:szCs w:val="18"/>
        </w:rPr>
        <w:t xml:space="preserve">C. </w:t>
      </w:r>
      <w:r>
        <w:rPr>
          <w:sz w:val="18"/>
          <w:szCs w:val="18"/>
        </w:rPr>
        <w:t xml:space="preserve">Sale and leaseback gain</w:t>
      </w:r>
    </w:p>
    <w:p>
      <w:pPr>
        <w:spacing w:after="18"/>
        <w:ind w:left="560" w:hanging="260"/>
      </w:pPr>
      <w:r>
        <w:rPr>
          <w:b/>
          <w:bCs/>
          <w:color w:val="8186EF"/>
          <w:sz w:val="18"/>
          <w:szCs w:val="18"/>
        </w:rPr>
        <w:t xml:space="preserve">D. </w:t>
      </w:r>
      <w:r>
        <w:rPr>
          <w:sz w:val="18"/>
          <w:szCs w:val="18"/>
        </w:rPr>
        <w:t xml:space="preserve">Low-value assets</w:t>
      </w:r>
    </w:p>
    <w:p>
      <w:pPr>
        <w:spacing w:before="40" w:after="16"/>
        <w:ind w:left="300" w:hanging="300"/>
      </w:pPr>
      <w:r>
        <w:rPr>
          <w:b/>
          <w:bCs/>
          <w:color w:val="353A7C"/>
          <w:sz w:val="19"/>
          <w:szCs w:val="19"/>
        </w:rPr>
        <w:t xml:space="preserve">6.  </w:t>
      </w:r>
      <w:r>
        <w:rPr>
          <w:sz w:val="19"/>
          <w:szCs w:val="19"/>
        </w:rPr>
        <w:t xml:space="preserve">Which topic does the book pair with “One straight-line lease cost: 100,000”?</w:t>
      </w:r>
    </w:p>
    <w:p>
      <w:pPr>
        <w:spacing w:after="18"/>
        <w:ind w:left="560" w:hanging="260"/>
      </w:pPr>
      <w:r>
        <w:rPr>
          <w:b/>
          <w:bCs/>
          <w:color w:val="8186EF"/>
          <w:sz w:val="18"/>
          <w:szCs w:val="18"/>
        </w:rPr>
        <w:t xml:space="preserve">A. </w:t>
      </w:r>
      <w:r>
        <w:rPr>
          <w:sz w:val="18"/>
          <w:szCs w:val="18"/>
        </w:rPr>
        <w:t xml:space="preserve">Warehouse lease, 2026 expense (Chapter 14)</w:t>
      </w:r>
    </w:p>
    <w:p>
      <w:pPr>
        <w:spacing w:after="18"/>
        <w:ind w:left="560" w:hanging="260"/>
      </w:pPr>
      <w:r>
        <w:rPr>
          <w:b/>
          <w:bCs/>
          <w:color w:val="8186EF"/>
          <w:sz w:val="18"/>
          <w:szCs w:val="18"/>
        </w:rPr>
        <w:t xml:space="preserve">B. </w:t>
      </w:r>
      <w:r>
        <w:rPr>
          <w:sz w:val="18"/>
          <w:szCs w:val="18"/>
        </w:rPr>
        <w:t xml:space="preserve">Sale and leaseback gain</w:t>
      </w:r>
    </w:p>
    <w:p>
      <w:pPr>
        <w:spacing w:after="18"/>
        <w:ind w:left="560" w:hanging="260"/>
      </w:pPr>
      <w:r>
        <w:rPr>
          <w:b/>
          <w:bCs/>
          <w:color w:val="8186EF"/>
          <w:sz w:val="18"/>
          <w:szCs w:val="18"/>
        </w:rPr>
        <w:t xml:space="preserve">C. </w:t>
      </w:r>
      <w:r>
        <w:rPr>
          <w:sz w:val="18"/>
          <w:szCs w:val="18"/>
        </w:rPr>
        <w:t xml:space="preserve">Lessee models</w:t>
      </w:r>
    </w:p>
    <w:p>
      <w:pPr>
        <w:spacing w:after="18"/>
        <w:ind w:left="560" w:hanging="260"/>
      </w:pPr>
      <w:r>
        <w:rPr>
          <w:b/>
          <w:bCs/>
          <w:color w:val="8186EF"/>
          <w:sz w:val="18"/>
          <w:szCs w:val="18"/>
        </w:rPr>
        <w:t xml:space="preserve">D. </w:t>
      </w:r>
      <w:r>
        <w:rPr>
          <w:sz w:val="18"/>
          <w:szCs w:val="18"/>
        </w:rPr>
        <w:t xml:space="preserve">Cash flow: operating-lease payment</w:t>
      </w:r>
    </w:p>
    <w:p>
      <w:pPr>
        <w:spacing w:before="40" w:after="16"/>
        <w:ind w:left="300" w:hanging="300"/>
      </w:pPr>
      <w:r>
        <w:rPr>
          <w:b/>
          <w:bCs/>
          <w:color w:val="353A7C"/>
          <w:sz w:val="19"/>
          <w:szCs w:val="19"/>
        </w:rPr>
        <w:t xml:space="preserve">7.  </w:t>
      </w:r>
      <w:r>
        <w:rPr>
          <w:sz w:val="19"/>
          <w:szCs w:val="19"/>
        </w:rPr>
        <w:t xml:space="preserve">Which topic does the book pair with “No exemption”?</w:t>
      </w:r>
    </w:p>
    <w:p>
      <w:pPr>
        <w:spacing w:after="18"/>
        <w:ind w:left="560" w:hanging="260"/>
      </w:pPr>
      <w:r>
        <w:rPr>
          <w:b/>
          <w:bCs/>
          <w:color w:val="8186EF"/>
          <w:sz w:val="18"/>
          <w:szCs w:val="18"/>
        </w:rPr>
        <w:t xml:space="preserve">A. </w:t>
      </w:r>
      <w:r>
        <w:rPr>
          <w:sz w:val="18"/>
          <w:szCs w:val="18"/>
        </w:rPr>
        <w:t xml:space="preserve">Low-value assets</w:t>
      </w:r>
    </w:p>
    <w:p>
      <w:pPr>
        <w:spacing w:after="18"/>
        <w:ind w:left="560" w:hanging="260"/>
      </w:pPr>
      <w:r>
        <w:rPr>
          <w:b/>
          <w:bCs/>
          <w:color w:val="8186EF"/>
          <w:sz w:val="18"/>
          <w:szCs w:val="18"/>
        </w:rPr>
        <w:t xml:space="preserve">B. </w:t>
      </w:r>
      <w:r>
        <w:rPr>
          <w:sz w:val="18"/>
          <w:szCs w:val="18"/>
        </w:rPr>
        <w:t xml:space="preserve">Warehouse lease, 2026 expense (Chapter 14)</w:t>
      </w:r>
    </w:p>
    <w:p>
      <w:pPr>
        <w:spacing w:after="18"/>
        <w:ind w:left="560" w:hanging="260"/>
      </w:pPr>
      <w:r>
        <w:rPr>
          <w:b/>
          <w:bCs/>
          <w:color w:val="8186EF"/>
          <w:sz w:val="18"/>
          <w:szCs w:val="18"/>
        </w:rPr>
        <w:t xml:space="preserve">C. </w:t>
      </w:r>
      <w:r>
        <w:rPr>
          <w:sz w:val="18"/>
          <w:szCs w:val="18"/>
        </w:rPr>
        <w:t xml:space="preserve">Cash flow: operating-lease payment</w:t>
      </w:r>
    </w:p>
    <w:p>
      <w:pPr>
        <w:spacing w:after="18"/>
        <w:ind w:left="560" w:hanging="260"/>
      </w:pPr>
      <w:r>
        <w:rPr>
          <w:b/>
          <w:bCs/>
          <w:color w:val="8186EF"/>
          <w:sz w:val="18"/>
          <w:szCs w:val="18"/>
        </w:rPr>
        <w:t xml:space="preserve">D. </w:t>
      </w:r>
      <w:r>
        <w:rPr>
          <w:sz w:val="18"/>
          <w:szCs w:val="18"/>
        </w:rPr>
        <w:t xml:space="preserve">Lessee models</w:t>
      </w:r>
    </w:p>
    <w:p>
      <w:pPr>
        <w:spacing w:before="40" w:after="16"/>
        <w:ind w:left="300" w:hanging="300"/>
      </w:pPr>
      <w:r>
        <w:rPr>
          <w:b/>
          <w:bCs/>
          <w:color w:val="353A7C"/>
          <w:sz w:val="19"/>
          <w:szCs w:val="19"/>
        </w:rPr>
        <w:t xml:space="preserve">8.  </w:t>
      </w:r>
      <w:r>
        <w:rPr>
          <w:sz w:val="19"/>
          <w:szCs w:val="19"/>
        </w:rPr>
        <w:t xml:space="preserve">Which topic does the book pair with “Not remeasured”?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Index-linked payments (CPI)</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Lessee models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Low-value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Sale and leaseback gain</w:t>
            </w:r>
          </w:p>
        </w:tc>
      </w:tr>
    </w:tbl>
    <w:p>
      <w:pPr>
        <w:spacing w:before="30" w:after="30"/>
        <w:ind w:left="300" w:hanging="300"/>
      </w:pPr>
      <w:r>
        <w:rPr>
          <w:b/>
          <w:bCs/>
          <w:color w:val="353A7C"/>
          <w:sz w:val="19"/>
          <w:szCs w:val="19"/>
        </w:rPr>
        <w:t xml:space="preserve">9.  </w:t>
      </w:r>
      <w:r>
        <w:rPr>
          <w:sz w:val="19"/>
          <w:szCs w:val="19"/>
        </w:rPr>
        <w:t xml:space="preserve">The book gives the IFRS 16 of Lessee models as “One: all leases like finance leases”.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IFRS 16 of Warehouse lease, 2026 expense (Chapter 14) as “One: all leases like finance leases”.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390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9082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value in use  ·  defined benefit plan  ·  recoverability test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17.5</w:t>
      </w:r>
    </w:p>
    <w:p>
      <w:pPr>
        <w:spacing w:after="8"/>
      </w:pPr>
      <w:r>
        <w:rPr>
          <w:color w:val="23265A"/>
          <w:sz w:val="22"/>
          <w:szCs w:val="22"/>
        </w:rPr>
        <w:t xml:space="preserve">(v) Long-lived assets</w:t>
      </w:r>
    </w:p>
    <w:p>
      <w:pPr>
        <w:spacing w:after="130"/>
      </w:pPr>
      <w:r>
        <w:rPr>
          <w:color w:val="6B7280"/>
          <w:sz w:val="20"/>
          <w:szCs w:val="20"/>
        </w:rPr>
        <w:t xml:space="preserve">section 17.5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9"/>
        <w:gridCol w:w="3234"/>
        <w:gridCol w:w="4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9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8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93"/>
            <w:tcMar>
              <w:top w:type="dxa" w:w="50"/>
              <w:left w:type="dxa" w:w="110"/>
              <w:bottom w:type="dxa" w:w="50"/>
              <w:right w:type="dxa" w:w="110"/>
            </w:tcMar>
          </w:tcPr>
          <w:p>
            <w:pPr>
              <w:spacing w:before="26" w:after="26"/>
            </w:pPr>
            <w:r>
              <w:rPr>
                <w:color w:val="232733"/>
                <w:sz w:val="16"/>
                <w:szCs w:val="16"/>
              </w:rPr>
              <w:t xml:space="preserve">(v) Long-lived assets</w:t>
            </w:r>
          </w:p>
        </w:tc>
        <w:tc>
          <w:tcPr>
            <w:tcW w:type="pct" w:w="1684"/>
            <w:tcMar>
              <w:top w:type="dxa" w:w="50"/>
              <w:left w:type="dxa" w:w="110"/>
              <w:bottom w:type="dxa" w:w="50"/>
              <w:right w:type="dxa" w:w="110"/>
            </w:tcMar>
          </w:tcPr>
          <w:p>
            <w:pPr>
              <w:spacing w:before="26" w:after="26"/>
            </w:pPr>
            <w:r>
              <w:rPr>
                <w:color w:val="232733"/>
                <w:sz w:val="16"/>
                <w:szCs w:val="16"/>
              </w:rPr>
              <w:t xml:space="preserve">a figure to read · Topic · the book’s own rule, gapped</w:t>
            </w:r>
          </w:p>
        </w:tc>
        <w:tc>
          <w:tcPr>
            <w:tcW w:type="pct" w:w="222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9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8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2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recoverable amount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defined benefit plan   ·   development costs   ·   revaluation model   ·   revaluation surplus</w:t>
      </w:r>
    </w:p>
    <w:p>
      <w:pPr>
        <w:spacing w:before="36" w:after="36"/>
        <w:ind w:left="300"/>
      </w:pPr>
      <w:r>
        <w:rPr>
          <w:sz w:val="19"/>
          <w:szCs w:val="19"/>
        </w:rPr>
        <w:t xml:space="preserve">GAAP carries property, plant and equipment at cost less depreciation. 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revaluation surplus   ·   development costs   ·   revaluation model   ·   component depreciation   ·   defined benefit plan</w:t>
      </w:r>
    </w:p>
    <w:p>
      <w:pPr>
        <w:spacing w:before="36" w:after="36"/>
        <w:ind w:left="300"/>
      </w:pPr>
      <w:r>
        <w:rPr>
          <w:sz w:val="19"/>
          <w:szCs w:val="19"/>
        </w:rPr>
        <w:t xml:space="preserve">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 IFRS requires </w:t>
      </w:r>
      <w:r>
        <w:rPr>
          <w:u w:val="single"/>
          <w:sz w:val="19"/>
          <w:szCs w:val="19"/>
        </w:rPr>
        <w:t xml:space="preserve">                        </w:t>
      </w:r>
      <w:r>
        <w:rPr>
          <w:sz w:val="19"/>
          <w:szCs w:val="19"/>
        </w:rPr>
        <w:t xml:space="preserve"> for significant parts with different lives; U.S.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revaluation surplus   ·   revaluation model   ·   defined benefit plan   ·   development costs   ·   component depreciation</w:t>
      </w:r>
    </w:p>
    <w:p>
      <w:pPr>
        <w:spacing w:before="36" w:after="36"/>
        <w:ind w:left="300"/>
      </w:pPr>
      <w:r>
        <w:rPr>
          <w:sz w:val="19"/>
          <w:szCs w:val="19"/>
        </w:rPr>
        <w:t xml:space="preserve">GAAP carries property, plant and equipment at cost less depreciation. 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 IFRS requires </w:t>
      </w:r>
      <w:r>
        <w:rPr>
          <w:u w:val="single"/>
          <w:sz w:val="19"/>
          <w:szCs w:val="19"/>
        </w:rPr>
        <w:t xml:space="preserve">                        </w:t>
      </w:r>
      <w:r>
        <w:rPr>
          <w:sz w:val="19"/>
          <w:szCs w:val="19"/>
        </w:rPr>
        <w:t xml:space="preserve"> for significant parts with different lives; U.S.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(v) Long-lived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U.S. GAAP (ASC 360, 835) of Land in Amman: cost 2,000,000, fair value 2,600,000 as “Stays at 2,000,000”.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25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2552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11"/>
        <w:gridCol w:w="3125"/>
        <w:gridCol w:w="33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book’s own table</w:t>
            </w:r>
          </w:p>
        </w:tc>
      </w:tr>
      <w:tr>
        <w:tc>
          <w:tcPr>
            <w:tcW w:type="pct" w:w="1620"/>
            <w:tcMar>
              <w:top w:type="dxa" w:w="50"/>
              <w:left w:type="dxa" w:w="110"/>
              <w:bottom w:type="dxa" w:w="50"/>
              <w:right w:type="dxa" w:w="110"/>
            </w:tcMar>
          </w:tcPr>
          <w:p>
            <w:pPr>
              <w:spacing w:before="26" w:after="26"/>
            </w:pPr>
            <w:r>
              <w:rPr>
                <w:b/>
                <w:bCs/>
                <w:color w:val="353A7C"/>
                <w:sz w:val="15"/>
                <w:szCs w:val="15"/>
              </w:rPr>
              <w:t xml:space="preserve">Topic</w:t>
            </w:r>
          </w:p>
        </w:tc>
        <w:tc>
          <w:tcPr>
            <w:tcW w:type="pct" w:w="1628"/>
            <w:tcMar>
              <w:top w:type="dxa" w:w="50"/>
              <w:left w:type="dxa" w:w="110"/>
              <w:bottom w:type="dxa" w:w="50"/>
              <w:right w:type="dxa" w:w="110"/>
            </w:tcMar>
          </w:tcPr>
          <w:p>
            <w:pPr>
              <w:spacing w:before="26" w:after="26"/>
            </w:pPr>
            <w:r>
              <w:rPr>
                <w:b/>
                <w:bCs/>
                <w:color w:val="353A7C"/>
                <w:sz w:val="15"/>
                <w:szCs w:val="15"/>
              </w:rPr>
              <w:t xml:space="preserve">U.S. GAAP (ASC 360, 835)</w:t>
            </w:r>
          </w:p>
        </w:tc>
        <w:tc>
          <w:tcPr>
            <w:tcW w:type="pct" w:w="1752"/>
            <w:tcMar>
              <w:top w:type="dxa" w:w="50"/>
              <w:left w:type="dxa" w:w="110"/>
              <w:bottom w:type="dxa" w:w="50"/>
              <w:right w:type="dxa" w:w="110"/>
            </w:tcMar>
          </w:tcPr>
          <w:p>
            <w:pPr>
              <w:spacing w:before="26" w:after="26"/>
            </w:pPr>
            <w:r>
              <w:rPr>
                <w:b/>
                <w:bCs/>
                <w:color w:val="353A7C"/>
                <w:sz w:val="15"/>
                <w:szCs w:val="15"/>
              </w:rPr>
              <w:t xml:space="preserve">IFRS (IAS 16, 23, 40)</w:t>
            </w:r>
          </w:p>
        </w:tc>
      </w:tr>
      <w:tr>
        <w:tc>
          <w:tcPr>
            <w:tcW w:type="pct" w:w="1620"/>
            <w:tcMar>
              <w:top w:type="dxa" w:w="50"/>
              <w:left w:type="dxa" w:w="110"/>
              <w:bottom w:type="dxa" w:w="50"/>
              <w:right w:type="dxa" w:w="110"/>
            </w:tcMar>
          </w:tcPr>
          <w:p>
            <w:pPr>
              <w:spacing w:before="26" w:after="26"/>
            </w:pPr>
            <w:r>
              <w:rPr>
                <w:color w:val="232733"/>
                <w:sz w:val="16"/>
                <w:szCs w:val="16"/>
              </w:rPr>
              <w:t xml:space="preserve">Land in Amman: cost 2,000,000, fair value 2,600,000</w:t>
            </w:r>
          </w:p>
        </w:tc>
        <w:tc>
          <w:tcPr>
            <w:tcW w:type="pct" w:w="1628"/>
            <w:tcMar>
              <w:top w:type="dxa" w:w="50"/>
              <w:left w:type="dxa" w:w="110"/>
              <w:bottom w:type="dxa" w:w="50"/>
              <w:right w:type="dxa" w:w="110"/>
            </w:tcMar>
          </w:tcPr>
          <w:p>
            <w:pPr>
              <w:spacing w:before="26" w:after="26"/>
            </w:pPr>
            <w:r>
              <w:rPr>
                <w:color w:val="232733"/>
                <w:sz w:val="16"/>
                <w:szCs w:val="16"/>
              </w:rPr>
              <w:t xml:space="preserve">Stays at 2,000,000</w:t>
            </w:r>
          </w:p>
        </w:tc>
        <w:tc>
          <w:tcPr>
            <w:tcW w:type="pct" w:w="1752"/>
            <w:tcMar>
              <w:top w:type="dxa" w:w="50"/>
              <w:left w:type="dxa" w:w="110"/>
              <w:bottom w:type="dxa" w:w="50"/>
              <w:right w:type="dxa" w:w="110"/>
            </w:tcMar>
          </w:tcPr>
          <w:p>
            <w:pPr>
              <w:spacing w:before="26" w:after="26"/>
            </w:pPr>
            <w:r>
              <w:rPr>
                <w:color w:val="232733"/>
                <w:sz w:val="16"/>
                <w:szCs w:val="16"/>
              </w:rPr>
              <w:t xml:space="preserve">Revaluation model: 2,600,000; surplus 600,000 in OCI</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Allowed, not required</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Required for significant parts</w:t>
            </w:r>
          </w:p>
        </w:tc>
      </w:tr>
      <w:tr>
        <w:tc>
          <w:tcPr>
            <w:tcW w:type="pct" w:w="1620"/>
            <w:tcMar>
              <w:top w:type="dxa" w:w="50"/>
              <w:left w:type="dxa" w:w="110"/>
              <w:bottom w:type="dxa" w:w="50"/>
              <w:right w:type="dxa" w:w="110"/>
            </w:tcMar>
          </w:tcPr>
          <w:p>
            <w:pPr>
              <w:spacing w:before="26" w:after="26"/>
            </w:pPr>
            <w:r>
              <w:rPr>
                <w:color w:val="232733"/>
                <w:sz w:val="16"/>
                <w:szCs w:val="16"/>
              </w:rPr>
              <w:t xml:space="preserve">Review of lives and residual values</w:t>
            </w:r>
          </w:p>
        </w:tc>
        <w:tc>
          <w:tcPr>
            <w:tcW w:type="pct" w:w="1628"/>
            <w:tcMar>
              <w:top w:type="dxa" w:w="50"/>
              <w:left w:type="dxa" w:w="110"/>
              <w:bottom w:type="dxa" w:w="50"/>
              <w:right w:type="dxa" w:w="110"/>
            </w:tcMar>
          </w:tcPr>
          <w:p>
            <w:pPr>
              <w:spacing w:before="26" w:after="26"/>
            </w:pPr>
            <w:r>
              <w:rPr>
                <w:color w:val="232733"/>
                <w:sz w:val="16"/>
                <w:szCs w:val="16"/>
              </w:rPr>
              <w:t xml:space="preserve">When events suggest a change</w:t>
            </w:r>
          </w:p>
        </w:tc>
        <w:tc>
          <w:tcPr>
            <w:tcW w:type="pct" w:w="1752"/>
            <w:tcMar>
              <w:top w:type="dxa" w:w="50"/>
              <w:left w:type="dxa" w:w="110"/>
              <w:bottom w:type="dxa" w:w="50"/>
              <w:right w:type="dxa" w:w="110"/>
            </w:tcMar>
          </w:tcPr>
          <w:p>
            <w:pPr>
              <w:spacing w:before="26" w:after="26"/>
            </w:pPr>
            <w:r>
              <w:rPr>
                <w:color w:val="232733"/>
                <w:sz w:val="16"/>
                <w:szCs w:val="16"/>
              </w:rPr>
              <w:t xml:space="preserve">At least every year</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Borrowing costs on a new plant</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Capitalized; investment income generally not offset</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Capitalized; income on specific borrowings deducted</w:t>
            </w:r>
          </w:p>
        </w:tc>
      </w:tr>
      <w:tr>
        <w:tc>
          <w:tcPr>
            <w:tcW w:type="pct" w:w="1620"/>
            <w:tcMar>
              <w:top w:type="dxa" w:w="50"/>
              <w:left w:type="dxa" w:w="110"/>
              <w:bottom w:type="dxa" w:w="50"/>
              <w:right w:type="dxa" w:w="110"/>
            </w:tcMar>
          </w:tcPr>
          <w:p>
            <w:pPr>
              <w:spacing w:before="26" w:after="26"/>
            </w:pPr>
            <w:r>
              <w:rPr>
                <w:color w:val="232733"/>
                <w:sz w:val="16"/>
                <w:szCs w:val="16"/>
              </w:rPr>
              <w:t xml:space="preserve">Investment property</w:t>
            </w:r>
          </w:p>
        </w:tc>
        <w:tc>
          <w:tcPr>
            <w:tcW w:type="pct" w:w="1628"/>
            <w:tcMar>
              <w:top w:type="dxa" w:w="50"/>
              <w:left w:type="dxa" w:w="110"/>
              <w:bottom w:type="dxa" w:w="50"/>
              <w:right w:type="dxa" w:w="110"/>
            </w:tcMar>
          </w:tcPr>
          <w:p>
            <w:pPr>
              <w:spacing w:before="26" w:after="26"/>
            </w:pPr>
            <w:r>
              <w:rPr>
                <w:color w:val="232733"/>
                <w:sz w:val="16"/>
                <w:szCs w:val="16"/>
              </w:rPr>
              <w:t xml:space="preserve">No separate category: cost model</w:t>
            </w:r>
          </w:p>
        </w:tc>
        <w:tc>
          <w:tcPr>
            <w:tcW w:type="pct" w:w="1752"/>
            <w:tcMar>
              <w:top w:type="dxa" w:w="50"/>
              <w:left w:type="dxa" w:w="110"/>
              <w:bottom w:type="dxa" w:w="50"/>
              <w:right w:type="dxa" w:w="110"/>
            </w:tcMar>
          </w:tcPr>
          <w:p>
            <w:pPr>
              <w:spacing w:before="26" w:after="26"/>
            </w:pPr>
            <w:r>
              <w:rPr>
                <w:color w:val="232733"/>
                <w:sz w:val="16"/>
                <w:szCs w:val="16"/>
              </w:rPr>
              <w:t xml:space="preserve">Fair value or cost model (IAS 40)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topic does the book pair with “Stays at 2,000,000”?</w:t>
      </w:r>
    </w:p>
    <w:p>
      <w:pPr>
        <w:spacing w:after="18"/>
        <w:ind w:left="560" w:hanging="260"/>
      </w:pPr>
      <w:r>
        <w:rPr>
          <w:b/>
          <w:bCs/>
          <w:color w:val="8186EF"/>
          <w:sz w:val="18"/>
          <w:szCs w:val="18"/>
        </w:rPr>
        <w:t xml:space="preserve">A. </w:t>
      </w:r>
      <w:r>
        <w:rPr>
          <w:sz w:val="18"/>
          <w:szCs w:val="18"/>
        </w:rPr>
        <w:t xml:space="preserve">Component depreciation</w:t>
      </w:r>
    </w:p>
    <w:p>
      <w:pPr>
        <w:spacing w:after="18"/>
        <w:ind w:left="560" w:hanging="260"/>
      </w:pPr>
      <w:r>
        <w:rPr>
          <w:b/>
          <w:bCs/>
          <w:color w:val="8186EF"/>
          <w:sz w:val="18"/>
          <w:szCs w:val="18"/>
        </w:rPr>
        <w:t xml:space="preserve">B. </w:t>
      </w:r>
      <w:r>
        <w:rPr>
          <w:sz w:val="18"/>
          <w:szCs w:val="18"/>
        </w:rPr>
        <w:t xml:space="preserve">Investment property</w:t>
      </w:r>
    </w:p>
    <w:p>
      <w:pPr>
        <w:spacing w:after="18"/>
        <w:ind w:left="560" w:hanging="260"/>
      </w:pPr>
      <w:r>
        <w:rPr>
          <w:b/>
          <w:bCs/>
          <w:color w:val="8186EF"/>
          <w:sz w:val="18"/>
          <w:szCs w:val="18"/>
        </w:rPr>
        <w:t xml:space="preserve">C. </w:t>
      </w:r>
      <w:r>
        <w:rPr>
          <w:sz w:val="18"/>
          <w:szCs w:val="18"/>
        </w:rPr>
        <w:t xml:space="preserve">Land in Amman: cost 2,000,000, fair value 2,600,000</w:t>
      </w:r>
    </w:p>
    <w:p>
      <w:pPr>
        <w:spacing w:after="18"/>
        <w:ind w:left="560" w:hanging="260"/>
      </w:pPr>
      <w:r>
        <w:rPr>
          <w:b/>
          <w:bCs/>
          <w:color w:val="8186EF"/>
          <w:sz w:val="18"/>
          <w:szCs w:val="18"/>
        </w:rPr>
        <w:t xml:space="preserve">D. </w:t>
      </w:r>
      <w:r>
        <w:rPr>
          <w:sz w:val="18"/>
          <w:szCs w:val="18"/>
        </w:rPr>
        <w:t xml:space="preserve">Review of lives and residual values</w:t>
      </w:r>
    </w:p>
    <w:p>
      <w:pPr>
        <w:spacing w:before="40" w:after="16"/>
        <w:ind w:left="300" w:hanging="300"/>
      </w:pPr>
      <w:r>
        <w:rPr>
          <w:b/>
          <w:bCs/>
          <w:color w:val="353A7C"/>
          <w:sz w:val="19"/>
          <w:szCs w:val="19"/>
        </w:rPr>
        <w:t xml:space="preserve">6.  </w:t>
      </w:r>
      <w:r>
        <w:rPr>
          <w:sz w:val="19"/>
          <w:szCs w:val="19"/>
        </w:rPr>
        <w:t xml:space="preserve">Which topic does the book pair with “Allowed, not required”?</w:t>
      </w:r>
    </w:p>
    <w:p>
      <w:pPr>
        <w:spacing w:after="18"/>
        <w:ind w:left="560" w:hanging="260"/>
      </w:pPr>
      <w:r>
        <w:rPr>
          <w:b/>
          <w:bCs/>
          <w:color w:val="8186EF"/>
          <w:sz w:val="18"/>
          <w:szCs w:val="18"/>
        </w:rPr>
        <w:t xml:space="preserve">A. </w:t>
      </w:r>
      <w:r>
        <w:rPr>
          <w:sz w:val="18"/>
          <w:szCs w:val="18"/>
        </w:rPr>
        <w:t xml:space="preserve">Land in Amman: cost 2,000,000, fair value 2,600,000</w:t>
      </w:r>
    </w:p>
    <w:p>
      <w:pPr>
        <w:spacing w:after="18"/>
        <w:ind w:left="560" w:hanging="260"/>
      </w:pPr>
      <w:r>
        <w:rPr>
          <w:b/>
          <w:bCs/>
          <w:color w:val="8186EF"/>
          <w:sz w:val="18"/>
          <w:szCs w:val="18"/>
        </w:rPr>
        <w:t xml:space="preserve">B. </w:t>
      </w:r>
      <w:r>
        <w:rPr>
          <w:sz w:val="18"/>
          <w:szCs w:val="18"/>
        </w:rPr>
        <w:t xml:space="preserve">Investment property</w:t>
      </w:r>
    </w:p>
    <w:p>
      <w:pPr>
        <w:spacing w:after="18"/>
        <w:ind w:left="560" w:hanging="260"/>
      </w:pPr>
      <w:r>
        <w:rPr>
          <w:b/>
          <w:bCs/>
          <w:color w:val="8186EF"/>
          <w:sz w:val="18"/>
          <w:szCs w:val="18"/>
        </w:rPr>
        <w:t xml:space="preserve">C. </w:t>
      </w:r>
      <w:r>
        <w:rPr>
          <w:sz w:val="18"/>
          <w:szCs w:val="18"/>
        </w:rPr>
        <w:t xml:space="preserve">Borrowing costs on a new plant</w:t>
      </w:r>
    </w:p>
    <w:p>
      <w:pPr>
        <w:spacing w:after="18"/>
        <w:ind w:left="560" w:hanging="260"/>
      </w:pPr>
      <w:r>
        <w:rPr>
          <w:b/>
          <w:bCs/>
          <w:color w:val="8186EF"/>
          <w:sz w:val="18"/>
          <w:szCs w:val="18"/>
        </w:rPr>
        <w:t xml:space="preserve">D. </w:t>
      </w:r>
      <w:r>
        <w:rPr>
          <w:sz w:val="18"/>
          <w:szCs w:val="18"/>
        </w:rPr>
        <w:t xml:space="preserve">Component depreciation</w:t>
      </w:r>
    </w:p>
    <w:p>
      <w:pPr>
        <w:spacing w:before="40" w:after="16"/>
        <w:ind w:left="300" w:hanging="300"/>
      </w:pPr>
      <w:r>
        <w:rPr>
          <w:b/>
          <w:bCs/>
          <w:color w:val="353A7C"/>
          <w:sz w:val="19"/>
          <w:szCs w:val="19"/>
        </w:rPr>
        <w:t xml:space="preserve">7.  </w:t>
      </w:r>
      <w:r>
        <w:rPr>
          <w:sz w:val="19"/>
          <w:szCs w:val="19"/>
        </w:rPr>
        <w:t xml:space="preserve">Which topic does the book pair with “When events suggest a change”?</w:t>
      </w:r>
    </w:p>
    <w:p>
      <w:pPr>
        <w:spacing w:after="18"/>
        <w:ind w:left="560" w:hanging="260"/>
      </w:pPr>
      <w:r>
        <w:rPr>
          <w:b/>
          <w:bCs/>
          <w:color w:val="8186EF"/>
          <w:sz w:val="18"/>
          <w:szCs w:val="18"/>
        </w:rPr>
        <w:t xml:space="preserve">A. </w:t>
      </w:r>
      <w:r>
        <w:rPr>
          <w:sz w:val="18"/>
          <w:szCs w:val="18"/>
        </w:rPr>
        <w:t xml:space="preserve">Review of lives and residual values</w:t>
      </w:r>
    </w:p>
    <w:p>
      <w:pPr>
        <w:spacing w:after="18"/>
        <w:ind w:left="560" w:hanging="260"/>
      </w:pPr>
      <w:r>
        <w:rPr>
          <w:b/>
          <w:bCs/>
          <w:color w:val="8186EF"/>
          <w:sz w:val="18"/>
          <w:szCs w:val="18"/>
        </w:rPr>
        <w:t xml:space="preserve">B. </w:t>
      </w:r>
      <w:r>
        <w:rPr>
          <w:sz w:val="18"/>
          <w:szCs w:val="18"/>
        </w:rPr>
        <w:t xml:space="preserve">Borrowing costs on a new plant</w:t>
      </w:r>
    </w:p>
    <w:p>
      <w:pPr>
        <w:spacing w:after="18"/>
        <w:ind w:left="560" w:hanging="260"/>
      </w:pPr>
      <w:r>
        <w:rPr>
          <w:b/>
          <w:bCs/>
          <w:color w:val="8186EF"/>
          <w:sz w:val="18"/>
          <w:szCs w:val="18"/>
        </w:rPr>
        <w:t xml:space="preserve">C. </w:t>
      </w:r>
      <w:r>
        <w:rPr>
          <w:sz w:val="18"/>
          <w:szCs w:val="18"/>
        </w:rPr>
        <w:t xml:space="preserve">Investment property</w:t>
      </w:r>
    </w:p>
    <w:p>
      <w:pPr>
        <w:spacing w:after="18"/>
        <w:ind w:left="560" w:hanging="260"/>
      </w:pPr>
      <w:r>
        <w:rPr>
          <w:b/>
          <w:bCs/>
          <w:color w:val="8186EF"/>
          <w:sz w:val="18"/>
          <w:szCs w:val="18"/>
        </w:rPr>
        <w:t xml:space="preserve">D. </w:t>
      </w:r>
      <w:r>
        <w:rPr>
          <w:sz w:val="18"/>
          <w:szCs w:val="18"/>
        </w:rPr>
        <w:t xml:space="preserve">Component depreciation</w:t>
      </w:r>
    </w:p>
    <w:p>
      <w:pPr>
        <w:spacing w:before="40" w:after="16"/>
        <w:ind w:left="300" w:hanging="300"/>
      </w:pPr>
      <w:r>
        <w:rPr>
          <w:b/>
          <w:bCs/>
          <w:color w:val="353A7C"/>
          <w:sz w:val="19"/>
          <w:szCs w:val="19"/>
        </w:rPr>
        <w:t xml:space="preserve">8.  </w:t>
      </w:r>
      <w:r>
        <w:rPr>
          <w:sz w:val="19"/>
          <w:szCs w:val="19"/>
        </w:rPr>
        <w:t xml:space="preserve">Which topic does the book pair with “Capitalized; investment income generally not offset”?</w:t>
      </w:r>
    </w:p>
    <w:p>
      <w:pPr>
        <w:spacing w:after="18"/>
        <w:ind w:left="560" w:hanging="260"/>
      </w:pPr>
      <w:r>
        <w:rPr>
          <w:b/>
          <w:bCs/>
          <w:color w:val="8186EF"/>
          <w:sz w:val="18"/>
          <w:szCs w:val="18"/>
        </w:rPr>
        <w:t xml:space="preserve">A. </w:t>
      </w:r>
      <w:r>
        <w:rPr>
          <w:sz w:val="18"/>
          <w:szCs w:val="18"/>
        </w:rPr>
        <w:t xml:space="preserve">Component depreciation</w:t>
      </w:r>
    </w:p>
    <w:p>
      <w:pPr>
        <w:spacing w:after="18"/>
        <w:ind w:left="560" w:hanging="260"/>
      </w:pPr>
      <w:r>
        <w:rPr>
          <w:b/>
          <w:bCs/>
          <w:color w:val="8186EF"/>
          <w:sz w:val="18"/>
          <w:szCs w:val="18"/>
        </w:rPr>
        <w:t xml:space="preserve">B. </w:t>
      </w:r>
      <w:r>
        <w:rPr>
          <w:sz w:val="18"/>
          <w:szCs w:val="18"/>
        </w:rPr>
        <w:t xml:space="preserve">Land in Amman: cost 2,000,000, fair value 2,600,000</w:t>
      </w:r>
    </w:p>
    <w:p>
      <w:pPr>
        <w:spacing w:after="18"/>
        <w:ind w:left="560" w:hanging="260"/>
      </w:pPr>
      <w:r>
        <w:rPr>
          <w:b/>
          <w:bCs/>
          <w:color w:val="8186EF"/>
          <w:sz w:val="18"/>
          <w:szCs w:val="18"/>
        </w:rPr>
        <w:t xml:space="preserve">C. </w:t>
      </w:r>
      <w:r>
        <w:rPr>
          <w:sz w:val="18"/>
          <w:szCs w:val="18"/>
        </w:rPr>
        <w:t xml:space="preserve">Borrowing costs on a new plant</w:t>
      </w:r>
    </w:p>
    <w:p>
      <w:pPr>
        <w:spacing w:after="18"/>
        <w:ind w:left="560" w:hanging="260"/>
      </w:pPr>
      <w:r>
        <w:rPr>
          <w:b/>
          <w:bCs/>
          <w:color w:val="8186EF"/>
          <w:sz w:val="18"/>
          <w:szCs w:val="18"/>
        </w:rPr>
        <w:t xml:space="preserve">D. </w:t>
      </w:r>
      <w:r>
        <w:rPr>
          <w:sz w:val="18"/>
          <w:szCs w:val="18"/>
        </w:rPr>
        <w:t xml:space="preserve">Review of lives and residual values</w:t>
      </w:r>
    </w:p>
    <w:p>
      <w:pPr>
        <w:spacing w:before="30" w:after="30"/>
        <w:ind w:left="300" w:hanging="300"/>
      </w:pPr>
      <w:r>
        <w:rPr>
          <w:b/>
          <w:bCs/>
          <w:color w:val="353A7C"/>
          <w:sz w:val="19"/>
          <w:szCs w:val="19"/>
        </w:rPr>
        <w:t xml:space="preserve">9.  </w:t>
      </w:r>
      <w:r>
        <w:rPr>
          <w:sz w:val="19"/>
          <w:szCs w:val="19"/>
        </w:rPr>
        <w:t xml:space="preserve">The book gives the IFRS (IAS 16, 23, 40) of Land in Amman: cost 2,000,000, fair value 2,600,000 as “Revaluation model: 2,600,000; surplus 600,000 in OCI”.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IFRS (IAS 16, 23, 40) of Component depreciation as “At least every year”.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revaluation model  ·  revaluation surplus  ·  value in use  ·  recoverable amount</w:t>
            </w:r>
          </w:p>
          <w:p>
            <w:pPr>
              <w:spacing w:before="26" w:after="26"/>
              <w:ind w:left="200"/>
            </w:pPr>
            <w:r>
              <w:rPr>
                <w:sz w:val="19"/>
                <w:szCs w:val="19"/>
              </w:rPr>
              <w:t xml:space="preserve">IAS 16 also allows the </w:t>
            </w:r>
            <w:r>
              <w:rPr>
                <w:u w:val="single"/>
                <w:sz w:val="19"/>
                <w:szCs w:val="19"/>
              </w:rPr>
              <w:t xml:space="preserve">                   </w:t>
            </w:r>
            <w:r>
              <w:rPr>
                <w:sz w:val="19"/>
                <w:szCs w:val="19"/>
              </w:rPr>
              <w:t xml:space="preserve"> for a whole class of assets: the assets are carried at fair value, and increases go to a </w:t>
            </w:r>
            <w:r>
              <w:rPr>
                <w:u w:val="single"/>
                <w:sz w:val="19"/>
                <w:szCs w:val="19"/>
              </w:rPr>
              <w:t xml:space="preserve">                     </w:t>
            </w:r>
            <w:r>
              <w:rPr>
                <w:sz w:val="19"/>
                <w:szCs w:val="19"/>
              </w:rPr>
              <w:t xml:space="preserve"> in OCI.</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Component depreciation</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Review of lives and residual values</w:t>
            </w:r>
          </w:p>
        </w:tc>
      </w:tr>
      <w:tr>
        <w:tc>
          <w:tcPr>
            <w:tcW w:type="pct" w:w="2500"/>
            <w:tcMar>
              <w:top w:type="dxa" w:w="50"/>
              <w:left w:type="dxa" w:w="110"/>
              <w:bottom w:type="dxa" w:w="50"/>
              <w:right w:type="dxa" w:w="110"/>
            </w:tcMar>
          </w:tcPr>
          <w:p>
            <w:pPr>
              <w:spacing w:before="26" w:after="26"/>
            </w:pPr>
            <w:r>
              <w:rPr>
                <w:sz w:val="16"/>
                <w:szCs w:val="16"/>
              </w:rPr>
              <w:t xml:space="preserve">U.S. GAAP (ASC 360, 835): Allowed, not required</w:t>
            </w:r>
          </w:p>
        </w:tc>
        <w:tc>
          <w:tcPr>
            <w:tcW w:type="pct" w:w="2500"/>
            <w:tcMar>
              <w:top w:type="dxa" w:w="50"/>
              <w:left w:type="dxa" w:w="110"/>
              <w:bottom w:type="dxa" w:w="50"/>
              <w:right w:type="dxa" w:w="110"/>
            </w:tcMar>
          </w:tcPr>
          <w:p>
            <w:pPr>
              <w:spacing w:before="26" w:after="26"/>
            </w:pPr>
            <w:r>
              <w:rPr>
                <w:sz w:val="16"/>
                <w:szCs w:val="16"/>
              </w:rPr>
              <w:t xml:space="preserve">U.S. GAAP (ASC 360, 835): When events suggest a change</w:t>
            </w:r>
          </w:p>
        </w:tc>
      </w:tr>
    </w:tbl>
    <w:p>
      <w:pPr>
        <w:spacing w:before="36" w:after="16"/>
      </w:pPr>
      <w:r>
        <w:rPr>
          <w:sz w:val="18"/>
          <w:szCs w:val="18"/>
        </w:rPr>
        <w:t xml:space="preserve">Only the facts above differ. What is the ifrs (ias 16, 23, 40) of Component depreciation?</w:t>
      </w:r>
    </w:p>
    <w:p>
      <w:pPr>
        <w:spacing w:before="40" w:after="16"/>
        <w:ind w:left="300" w:hanging="300"/>
      </w:pPr>
      <w:r>
        <w:rPr>
          <w:b/>
          <w:bCs/>
          <w:color w:val="353A7C"/>
          <w:sz w:val="19"/>
          <w:szCs w:val="19"/>
        </w:rPr>
        <w:t xml:space="preserve">12.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Fair value or cost model (IAS 40)</w:t>
      </w:r>
    </w:p>
    <w:p>
      <w:pPr>
        <w:spacing w:after="18"/>
        <w:ind w:left="560" w:hanging="260"/>
      </w:pPr>
      <w:r>
        <w:rPr>
          <w:b/>
          <w:bCs/>
          <w:color w:val="8186EF"/>
          <w:sz w:val="18"/>
          <w:szCs w:val="18"/>
        </w:rPr>
        <w:t xml:space="preserve">B. </w:t>
      </w:r>
      <w:r>
        <w:rPr>
          <w:sz w:val="18"/>
          <w:szCs w:val="18"/>
        </w:rPr>
        <w:t xml:space="preserve">At least every year</w:t>
      </w:r>
    </w:p>
    <w:p>
      <w:pPr>
        <w:spacing w:after="18"/>
        <w:ind w:left="560" w:hanging="260"/>
      </w:pPr>
      <w:r>
        <w:rPr>
          <w:b/>
          <w:bCs/>
          <w:color w:val="8186EF"/>
          <w:sz w:val="18"/>
          <w:szCs w:val="18"/>
        </w:rPr>
        <w:t xml:space="preserve">C. </w:t>
      </w:r>
      <w:r>
        <w:rPr>
          <w:sz w:val="18"/>
          <w:szCs w:val="18"/>
        </w:rPr>
        <w:t xml:space="preserve">Required for significant parts</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recoverable amount</w:t>
            </w:r>
          </w:p>
        </w:tc>
        <w:tc>
          <w:tcPr>
            <w:tcW w:type="pct" w:w="2400"/>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425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255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recoverable amount  ·  research and development (R&amp;D)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17.6</w:t>
      </w:r>
    </w:p>
    <w:p>
      <w:pPr>
        <w:spacing w:after="8"/>
      </w:pPr>
      <w:r>
        <w:rPr>
          <w:color w:val="23265A"/>
          <w:sz w:val="22"/>
          <w:szCs w:val="22"/>
        </w:rPr>
        <w:t xml:space="preserve">(vi) Impairment</w:t>
      </w:r>
    </w:p>
    <w:p>
      <w:pPr>
        <w:spacing w:after="130"/>
      </w:pPr>
      <w:r>
        <w:rPr>
          <w:color w:val="6B7280"/>
          <w:sz w:val="20"/>
          <w:szCs w:val="20"/>
        </w:rPr>
        <w:t xml:space="preserve">section 17.6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99"/>
        <w:gridCol w:w="3723"/>
        <w:gridCol w:w="39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3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7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89"/>
            <w:tcMar>
              <w:top w:type="dxa" w:w="50"/>
              <w:left w:type="dxa" w:w="110"/>
              <w:bottom w:type="dxa" w:w="50"/>
              <w:right w:type="dxa" w:w="110"/>
            </w:tcMar>
          </w:tcPr>
          <w:p>
            <w:pPr>
              <w:spacing w:before="26" w:after="26"/>
            </w:pPr>
            <w:r>
              <w:rPr>
                <w:color w:val="232733"/>
                <w:sz w:val="16"/>
                <w:szCs w:val="16"/>
              </w:rPr>
              <w:t xml:space="preserve">(vi) Impairment</w:t>
            </w:r>
          </w:p>
        </w:tc>
        <w:tc>
          <w:tcPr>
            <w:tcW w:type="pct" w:w="1939"/>
            <w:tcMar>
              <w:top w:type="dxa" w:w="50"/>
              <w:left w:type="dxa" w:w="110"/>
              <w:bottom w:type="dxa" w:w="50"/>
              <w:right w:type="dxa" w:w="110"/>
            </w:tcMar>
          </w:tcPr>
          <w:p>
            <w:pPr>
              <w:spacing w:before="26" w:after="26"/>
            </w:pPr>
            <w:r>
              <w:rPr>
                <w:color w:val="232733"/>
                <w:sz w:val="16"/>
                <w:szCs w:val="16"/>
              </w:rPr>
              <w:t xml:space="preserve">a figure to read · Suppose: Levant Distribution LLC, 2027 (USD 000)</w:t>
            </w:r>
          </w:p>
        </w:tc>
        <w:tc>
          <w:tcPr>
            <w:tcW w:type="pct" w:w="207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39"/>
            <w:shd w:fill="FBFAF6" w:val="clear"/>
            <w:tcMar>
              <w:top w:type="dxa" w:w="50"/>
              <w:left w:type="dxa" w:w="110"/>
              <w:bottom w:type="dxa" w:w="50"/>
              <w:right w:type="dxa" w:w="110"/>
            </w:tcMar>
          </w:tcPr>
          <w:p>
            <w:pPr>
              <w:spacing w:before="26" w:after="26"/>
            </w:pPr>
            <w:r>
              <w:rPr>
                <w:color w:val="232733"/>
                <w:sz w:val="16"/>
                <w:szCs w:val="16"/>
              </w:rPr>
              <w:t xml:space="preserve">Statement · The English the exam uses, and what it translates</w:t>
            </w:r>
          </w:p>
        </w:tc>
        <w:tc>
          <w:tcPr>
            <w:tcW w:type="pct" w:w="207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cash-generating unit   ·   value in use   ·   graded vesting   ·   fair value less costs of disposal   ·   revaluation model   ·   recoverable amount</w:t>
      </w:r>
    </w:p>
    <w:p>
      <w:pPr>
        <w:spacing w:before="36" w:after="36"/>
        <w:ind w:left="300"/>
      </w:pPr>
      <w:r>
        <w:rPr>
          <w:sz w:val="19"/>
          <w:szCs w:val="19"/>
        </w:rPr>
        <w:t xml:space="preserve">Only if the carrying amount is higher does it measure a loss, equal to the carrying amount minus fair value. 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recoverable amount   ·   value in use   ·   fair value less costs of disposal   ·   cash-generating unit   ·   graded vesting   ·   revaluation model</w:t>
      </w:r>
    </w:p>
    <w:p>
      <w:pPr>
        <w:spacing w:before="36" w:after="36"/>
        <w:ind w:left="300"/>
      </w:pPr>
      <w:r>
        <w:rPr>
          <w:sz w:val="19"/>
          <w:szCs w:val="19"/>
        </w:rPr>
        <w:t xml:space="preserve">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 Because there is no undiscounted screen, IFRS losses often come earlier.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graded vesting   ·   recoverable amount   ·   fair value less costs of disposal   ·   revaluation model   ·   cash-generating unit   ·   value in use</w:t>
      </w:r>
    </w:p>
    <w:p>
      <w:pPr>
        <w:spacing w:before="36" w:after="36"/>
        <w:ind w:left="300"/>
      </w:pPr>
      <w:r>
        <w:rPr>
          <w:sz w:val="19"/>
          <w:szCs w:val="19"/>
        </w:rPr>
        <w:t xml:space="preserve">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 Because there is no undiscounted screen, IFRS losses often come earlier. The frameworks also differ after the loss.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(vi) Impairment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41571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Levant Distribution LLC,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Levant's 2027 net income under IFRS (local books)</w:t>
            </w:r>
          </w:p>
        </w:tc>
        <w:tc>
          <w:tcPr>
            <w:tcW w:type="pct" w:w="2600"/>
            <w:tcMar>
              <w:top w:type="dxa" w:w="50"/>
              <w:left w:type="dxa" w:w="110"/>
              <w:bottom w:type="dxa" w:w="50"/>
              <w:right w:type="dxa" w:w="110"/>
            </w:tcMar>
          </w:tcPr>
          <w:p>
            <w:pPr>
              <w:spacing w:before="26" w:after="26"/>
            </w:pPr>
            <w:r>
              <w:rPr>
                <w:color w:val="232733"/>
                <w:sz w:val="16"/>
                <w:szCs w:val="16"/>
              </w:rPr>
              <w:t xml:space="preserve">1,114</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6" w:after="26"/>
            </w:pPr>
            <w:r>
              <w:rPr>
                <w:color w:val="232733"/>
                <w:sz w:val="16"/>
                <w:szCs w:val="16"/>
              </w:rPr>
              <w:t xml:space="preserve">L2</w:t>
            </w:r>
          </w:p>
        </w:tc>
        <w:tc>
          <w:tcPr>
            <w:tcW w:type="pct" w:w="2600"/>
            <w:tcMar>
              <w:top w:type="dxa" w:w="50"/>
              <w:left w:type="dxa" w:w="110"/>
              <w:bottom w:type="dxa" w:w="50"/>
              <w:right w:type="dxa" w:w="110"/>
            </w:tcMar>
          </w:tcPr>
          <w:p>
            <w:pPr>
              <w:spacing w:before="26" w:after="26"/>
            </w:pPr>
            <w:r>
              <w:rPr>
                <w:color w:val="232733"/>
                <w:sz w:val="16"/>
                <w:szCs w:val="16"/>
              </w:rPr>
              <w:t xml:space="preserve">A 2026 inventory write-down was reversed in 2027 under IAS 2: gain of 30.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Warehouse land revalued upward by 400; the surplus is in OCI.</w:t>
            </w:r>
          </w:p>
        </w:tc>
      </w:tr>
      <w:tr>
        <w:tc>
          <w:tcPr>
            <w:tcW w:type="pct" w:w="2400"/>
            <w:tcMar>
              <w:top w:type="dxa" w:w="50"/>
              <w:left w:type="dxa" w:w="110"/>
              <w:bottom w:type="dxa" w:w="50"/>
              <w:right w:type="dxa" w:w="110"/>
            </w:tcMar>
          </w:tcPr>
          <w:p>
            <w:pPr>
              <w:spacing w:before="26" w:after="26"/>
            </w:pPr>
            <w:r>
              <w:rPr>
                <w:color w:val="232733"/>
                <w:sz w:val="16"/>
                <w:szCs w:val="16"/>
              </w:rPr>
              <w:t xml:space="preserve">L4</w:t>
            </w:r>
          </w:p>
        </w:tc>
        <w:tc>
          <w:tcPr>
            <w:tcW w:type="pct" w:w="2600"/>
            <w:tcMar>
              <w:top w:type="dxa" w:w="50"/>
              <w:left w:type="dxa" w:w="110"/>
              <w:bottom w:type="dxa" w:w="50"/>
              <w:right w:type="dxa" w:w="110"/>
            </w:tcMar>
          </w:tcPr>
          <w:p>
            <w:pPr>
              <w:spacing w:before="26" w:after="26"/>
            </w:pPr>
            <w:r>
              <w:rPr>
                <w:color w:val="232733"/>
                <w:sz w:val="16"/>
                <w:szCs w:val="16"/>
              </w:rPr>
              <w:t xml:space="preserve">Delivery fleet: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L5</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Orontes must convert Levant's figures to U.S. GAAP before consolidation (Chapter 16). Ignore tax effects.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17.2?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spacing w:before="40" w:after="16"/>
        <w:ind w:left="300" w:hanging="300"/>
      </w:pPr>
      <w:r>
        <w:rPr>
          <w:b/>
          <w:bCs/>
          <w:color w:val="353A7C"/>
          <w:sz w:val="19"/>
          <w:szCs w:val="19"/>
        </w:rPr>
        <w:t xml:space="preserve">6.  </w:t>
      </w:r>
      <w:r>
        <w:rPr>
          <w:sz w:val="19"/>
          <w:szCs w:val="19"/>
        </w:rPr>
        <w:t xml:space="preserve">Which part of this chapter is section 17.3?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(iii) Inventories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 Intangible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(vi) Impairment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(v) Long-lived assets</w:t>
            </w:r>
          </w:p>
        </w:tc>
      </w:tr>
    </w:tbl>
    <w:p>
      <w:pPr>
        <w:spacing w:before="40" w:after="16"/>
        <w:ind w:left="300" w:hanging="300"/>
      </w:pPr>
      <w:r>
        <w:rPr>
          <w:b/>
          <w:bCs/>
          <w:color w:val="353A7C"/>
          <w:sz w:val="19"/>
          <w:szCs w:val="19"/>
        </w:rPr>
        <w:t xml:space="preserve">7.  </w:t>
      </w:r>
      <w:r>
        <w:rPr>
          <w:sz w:val="19"/>
          <w:szCs w:val="19"/>
        </w:rPr>
        <w:t xml:space="preserve">Which part of this chapter is section 17.4?</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spacing w:before="40" w:after="16"/>
        <w:ind w:left="300" w:hanging="300"/>
      </w:pPr>
      <w:r>
        <w:rPr>
          <w:b/>
          <w:bCs/>
          <w:color w:val="353A7C"/>
          <w:sz w:val="19"/>
          <w:szCs w:val="19"/>
        </w:rPr>
        <w:t xml:space="preserve">8.  </w:t>
      </w:r>
      <w:r>
        <w:rPr>
          <w:sz w:val="19"/>
          <w:szCs w:val="19"/>
        </w:rPr>
        <w:t xml:space="preserve">Which part of this chapter is section 17.5?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(ii) Intangible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(v) Long-lived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(iii) Inventories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Statement</w:t>
            </w:r>
          </w:p>
        </w:tc>
        <w:tc>
          <w:tcPr>
            <w:tcW w:type="pct" w:w="2400"/>
            <w:tcMar>
              <w:top w:type="dxa" w:w="50"/>
              <w:left w:type="dxa" w:w="110"/>
              <w:bottom w:type="dxa" w:w="50"/>
              <w:right w:type="dxa" w:w="110"/>
            </w:tcMar>
          </w:tcPr>
          <w:p>
            <w:pPr>
              <w:spacing w:before="26" w:after="26"/>
            </w:pPr>
            <w:r>
              <w:rPr>
                <w:b/>
                <w:bCs/>
                <w:color w:val="353A7C"/>
                <w:sz w:val="15"/>
                <w:szCs w:val="15"/>
              </w:rPr>
              <w:t xml:space="preserve">U.S. GAAP only, IFRS only, or both?</w:t>
            </w:r>
          </w:p>
        </w:tc>
      </w:tr>
      <w:tr>
        <w:tc>
          <w:tcPr>
            <w:tcW w:type="pct" w:w="2600"/>
            <w:tcMar>
              <w:top w:type="dxa" w:w="50"/>
              <w:left w:type="dxa" w:w="110"/>
              <w:bottom w:type="dxa" w:w="50"/>
              <w:right w:type="dxa" w:w="110"/>
            </w:tcMar>
          </w:tcPr>
          <w:p>
            <w:pPr>
              <w:spacing w:before="26" w:after="26"/>
            </w:pPr>
            <w:r>
              <w:rPr>
                <w:color w:val="232733"/>
                <w:sz w:val="16"/>
                <w:szCs w:val="16"/>
              </w:rPr>
              <w:t xml:space="preserve">LIFO is permitted</w:t>
            </w:r>
          </w:p>
        </w:tc>
        <w:tc>
          <w:tcPr>
            <w:tcW w:type="pct" w:w="2400"/>
            <w:tcMar>
              <w:top w:type="dxa" w:w="50"/>
              <w:left w:type="dxa" w:w="110"/>
              <w:bottom w:type="dxa" w:w="50"/>
              <w:right w:type="dxa" w:w="110"/>
            </w:tcMar>
          </w:tcPr>
          <w:p>
            <w:pPr>
              <w:spacing w:before="26" w:after="26"/>
            </w:pPr>
            <w:r>
              <w:rPr>
                <w:color w:val="232733"/>
                <w:sz w:val="16"/>
                <w:szCs w:val="16"/>
              </w:rPr>
              <w:t xml:space="preserve">U.S. GAAP only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write-downs are reversed when NRV recovers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 only</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 are capitalized when criteria are met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is tested first with undiscounted cash flows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 short-term lease exemption exists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 service cost is expensed immediately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4"/>
        <w:gridCol w:w="47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2"/>
            <w:tcMar>
              <w:top w:type="dxa" w:w="50"/>
              <w:left w:type="dxa" w:w="110"/>
              <w:bottom w:type="dxa" w:w="50"/>
              <w:right w:type="dxa" w:w="110"/>
            </w:tcMar>
          </w:tcPr>
          <w:p>
            <w:pPr>
              <w:spacing w:before="26" w:after="26"/>
            </w:pPr>
            <w:r>
              <w:rPr>
                <w:color w:val="232733"/>
                <w:sz w:val="16"/>
                <w:szCs w:val="16"/>
              </w:rPr>
              <w:t xml:space="preserve">cash-generating unit</w:t>
            </w:r>
          </w:p>
        </w:tc>
        <w:tc>
          <w:tcPr>
            <w:tcW w:type="pct" w:w="2488"/>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512"/>
            <w:shd w:fill="FBFAF6" w:val="clear"/>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88"/>
            <w:shd w:fill="FBFAF6" w:val="clear"/>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statement does the book pair with “U.S. GAAP only”?</w:t>
      </w:r>
    </w:p>
    <w:p>
      <w:pPr>
        <w:spacing w:after="18"/>
        <w:ind w:left="560" w:hanging="260"/>
      </w:pPr>
      <w:r>
        <w:rPr>
          <w:b/>
          <w:bCs/>
          <w:color w:val="8186EF"/>
          <w:sz w:val="18"/>
          <w:szCs w:val="18"/>
        </w:rPr>
        <w:t xml:space="preserve">A. </w:t>
      </w:r>
      <w:r>
        <w:rPr>
          <w:sz w:val="18"/>
          <w:szCs w:val="18"/>
        </w:rPr>
        <w:t xml:space="preserve">Impairment is tested first with undiscounted cash flows</w:t>
      </w:r>
    </w:p>
    <w:p>
      <w:pPr>
        <w:spacing w:after="18"/>
        <w:ind w:left="560" w:hanging="260"/>
      </w:pPr>
      <w:r>
        <w:rPr>
          <w:b/>
          <w:bCs/>
          <w:color w:val="8186EF"/>
          <w:sz w:val="18"/>
          <w:szCs w:val="18"/>
        </w:rPr>
        <w:t xml:space="preserve">B. </w:t>
      </w:r>
      <w:r>
        <w:rPr>
          <w:sz w:val="18"/>
          <w:szCs w:val="18"/>
        </w:rPr>
        <w:t xml:space="preserve">Inventory write-downs are reversed when NRV recovers</w:t>
      </w:r>
    </w:p>
    <w:p>
      <w:pPr>
        <w:spacing w:after="18"/>
        <w:ind w:left="560" w:hanging="260"/>
      </w:pPr>
      <w:r>
        <w:rPr>
          <w:b/>
          <w:bCs/>
          <w:color w:val="8186EF"/>
          <w:sz w:val="18"/>
          <w:szCs w:val="18"/>
        </w:rPr>
        <w:t xml:space="preserve">C. </w:t>
      </w:r>
      <w:r>
        <w:rPr>
          <w:sz w:val="18"/>
          <w:szCs w:val="18"/>
        </w:rPr>
        <w:t xml:space="preserve">A short-term lease exemption exists</w:t>
      </w:r>
    </w:p>
    <w:p>
      <w:pPr>
        <w:spacing w:after="18"/>
        <w:ind w:left="560" w:hanging="260"/>
      </w:pPr>
      <w:r>
        <w:rPr>
          <w:b/>
          <w:bCs/>
          <w:color w:val="8186EF"/>
          <w:sz w:val="18"/>
          <w:szCs w:val="18"/>
        </w:rPr>
        <w:t xml:space="preserve">D. </w:t>
      </w:r>
      <w:r>
        <w:rPr>
          <w:sz w:val="18"/>
          <w:szCs w:val="18"/>
        </w:rPr>
        <w:t xml:space="preserve">LIFO is permitted</w:t>
      </w:r>
    </w:p>
    <w:p>
      <w:pPr>
        <w:spacing w:before="40" w:after="16"/>
        <w:ind w:left="300" w:hanging="300"/>
      </w:pPr>
      <w:r>
        <w:rPr>
          <w:b/>
          <w:bCs/>
          <w:color w:val="353A7C"/>
          <w:sz w:val="19"/>
          <w:szCs w:val="19"/>
        </w:rPr>
        <w:t xml:space="preserve">13.  </w:t>
      </w:r>
      <w:r>
        <w:rPr>
          <w:sz w:val="19"/>
          <w:szCs w:val="19"/>
        </w:rPr>
        <w:t xml:space="preserve">Which statement does the book pair with “IFRS only”?</w:t>
      </w:r>
    </w:p>
    <w:p>
      <w:pPr>
        <w:spacing w:after="18"/>
        <w:ind w:left="560" w:hanging="260"/>
      </w:pPr>
      <w:r>
        <w:rPr>
          <w:b/>
          <w:bCs/>
          <w:color w:val="8186EF"/>
          <w:sz w:val="18"/>
          <w:szCs w:val="18"/>
        </w:rPr>
        <w:t xml:space="preserve">A. </w:t>
      </w:r>
      <w:r>
        <w:rPr>
          <w:sz w:val="18"/>
          <w:szCs w:val="18"/>
        </w:rPr>
        <w:t xml:space="preserve">Development costs are capitalized when criteria are met</w:t>
      </w:r>
    </w:p>
    <w:p>
      <w:pPr>
        <w:spacing w:after="18"/>
        <w:ind w:left="560" w:hanging="260"/>
      </w:pPr>
      <w:r>
        <w:rPr>
          <w:b/>
          <w:bCs/>
          <w:color w:val="8186EF"/>
          <w:sz w:val="18"/>
          <w:szCs w:val="18"/>
        </w:rPr>
        <w:t xml:space="preserve">B. </w:t>
      </w:r>
      <w:r>
        <w:rPr>
          <w:sz w:val="18"/>
          <w:szCs w:val="18"/>
        </w:rPr>
        <w:t xml:space="preserve">Inventory write-downs are reversed when NRV recovers</w:t>
      </w:r>
    </w:p>
    <w:p>
      <w:pPr>
        <w:spacing w:after="18"/>
        <w:ind w:left="560" w:hanging="260"/>
      </w:pPr>
      <w:r>
        <w:rPr>
          <w:b/>
          <w:bCs/>
          <w:color w:val="8186EF"/>
          <w:sz w:val="18"/>
          <w:szCs w:val="18"/>
        </w:rPr>
        <w:t xml:space="preserve">C. </w:t>
      </w:r>
      <w:r>
        <w:rPr>
          <w:sz w:val="18"/>
          <w:szCs w:val="18"/>
        </w:rPr>
        <w:t xml:space="preserve">Prior service cost is expensed immediately</w:t>
      </w:r>
    </w:p>
    <w:p>
      <w:pPr>
        <w:spacing w:after="18"/>
        <w:ind w:left="560" w:hanging="260"/>
      </w:pPr>
      <w:r>
        <w:rPr>
          <w:b/>
          <w:bCs/>
          <w:color w:val="8186EF"/>
          <w:sz w:val="18"/>
          <w:szCs w:val="18"/>
        </w:rPr>
        <w:t xml:space="preserve">D. </w:t>
      </w:r>
      <w:r>
        <w:rPr>
          <w:sz w:val="18"/>
          <w:szCs w:val="18"/>
        </w:rPr>
        <w:t xml:space="preserve">Impairment is tested first with undiscounted cash flows</w:t>
      </w:r>
    </w:p>
    <w:p>
      <w:pPr>
        <w:spacing w:before="40" w:after="16"/>
        <w:ind w:left="300" w:hanging="300"/>
      </w:pPr>
      <w:r>
        <w:rPr>
          <w:b/>
          <w:bCs/>
          <w:color w:val="353A7C"/>
          <w:sz w:val="19"/>
          <w:szCs w:val="19"/>
        </w:rPr>
        <w:t xml:space="preserve">14.  </w:t>
      </w:r>
      <w:r>
        <w:rPr>
          <w:sz w:val="19"/>
          <w:szCs w:val="19"/>
        </w:rPr>
        <w:t xml:space="preserve">Which statement does the book pair with “________”?</w:t>
      </w:r>
    </w:p>
    <w:p>
      <w:pPr>
        <w:spacing w:after="18"/>
        <w:ind w:left="560" w:hanging="260"/>
      </w:pPr>
      <w:r>
        <w:rPr>
          <w:b/>
          <w:bCs/>
          <w:color w:val="8186EF"/>
          <w:sz w:val="18"/>
          <w:szCs w:val="18"/>
        </w:rPr>
        <w:t xml:space="preserve">A. </w:t>
      </w:r>
      <w:r>
        <w:rPr>
          <w:sz w:val="18"/>
          <w:szCs w:val="18"/>
        </w:rPr>
        <w:t xml:space="preserve">Inventory write-downs are reversed when NRV recovers</w:t>
      </w:r>
    </w:p>
    <w:p>
      <w:pPr>
        <w:spacing w:after="18"/>
        <w:ind w:left="560" w:hanging="260"/>
      </w:pPr>
      <w:r>
        <w:rPr>
          <w:b/>
          <w:bCs/>
          <w:color w:val="8186EF"/>
          <w:sz w:val="18"/>
          <w:szCs w:val="18"/>
        </w:rPr>
        <w:t xml:space="preserve">B. </w:t>
      </w:r>
      <w:r>
        <w:rPr>
          <w:sz w:val="18"/>
          <w:szCs w:val="18"/>
        </w:rPr>
        <w:t xml:space="preserve">Development costs are capitalized when criteria are met</w:t>
      </w:r>
    </w:p>
    <w:p>
      <w:pPr>
        <w:spacing w:after="18"/>
        <w:ind w:left="560" w:hanging="260"/>
      </w:pPr>
      <w:r>
        <w:rPr>
          <w:b/>
          <w:bCs/>
          <w:color w:val="8186EF"/>
          <w:sz w:val="18"/>
          <w:szCs w:val="18"/>
        </w:rPr>
        <w:t xml:space="preserve">C. </w:t>
      </w:r>
      <w:r>
        <w:rPr>
          <w:sz w:val="18"/>
          <w:szCs w:val="18"/>
        </w:rPr>
        <w:t xml:space="preserve">LIFO is permitted</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41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4157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cash-generating unit  ·  net realizable value (NRV)</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27"/>
        <w:gridCol w:w="3581"/>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3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86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35"/>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865"/>
            <w:tcMar>
              <w:top w:type="dxa" w:w="50"/>
              <w:left w:type="dxa" w:w="110"/>
              <w:bottom w:type="dxa" w:w="50"/>
              <w:right w:type="dxa" w:w="110"/>
            </w:tcMar>
          </w:tcPr>
          <w:p>
            <w:pPr>
              <w:spacing w:before="26" w:after="26"/>
            </w:pPr>
            <w:r>
              <w:rPr>
                <w:color w:val="232733"/>
                <w:sz w:val="16"/>
                <w:szCs w:val="16"/>
              </w:rPr>
              <w:t xml:space="preserve">a figure to read · Topic</w:t>
            </w:r>
          </w:p>
        </w:tc>
        <w:tc>
          <w:tcPr>
            <w:tcW w:type="pct" w:w="2600"/>
            <w:tcMar>
              <w:top w:type="dxa" w:w="50"/>
              <w:left w:type="dxa" w:w="110"/>
              <w:bottom w:type="dxa" w:w="50"/>
              <w:right w:type="dxa" w:w="110"/>
            </w:tcMar>
          </w:tcPr>
          <w:p>
            <w:pPr>
              <w:spacing w:before="26" w:after="26"/>
            </w:pPr>
            <w:r>
              <w:rPr>
                <w:color w:val="232733"/>
                <w:sz w:val="16"/>
                <w:szCs w:val="16"/>
              </w:rPr>
              <w:t xml:space="preserve">The extract for this question is printed with it. How much of Orontes's prior service cost is recognized in 2027 net income under IAS 19 and under U.S. GAAP (whole USD)?</w:t>
            </w:r>
          </w:p>
        </w:tc>
      </w:tr>
      <w:tr>
        <w:tc>
          <w:tcPr>
            <w:tcW w:type="pct" w:w="535"/>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865"/>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Topic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35"/>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865"/>
            <w:tcMar>
              <w:top w:type="dxa" w:w="50"/>
              <w:left w:type="dxa" w:w="110"/>
              <w:bottom w:type="dxa" w:w="50"/>
              <w:right w:type="dxa" w:w="110"/>
            </w:tcMar>
          </w:tcPr>
          <w:p>
            <w:pPr>
              <w:spacing w:before="26" w:after="26"/>
            </w:pPr>
            <w:r>
              <w:rPr>
                <w:color w:val="232733"/>
                <w:sz w:val="16"/>
                <w:szCs w:val="16"/>
              </w:rPr>
              <w:t xml:space="preserve">revaluation model · revaluation surplus · development costs · value in use · recoverable amount · 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remeasurements   ·   defined benefit plan   ·   component depreciation   ·   cash-generating unit</w:t>
      </w:r>
    </w:p>
    <w:p>
      <w:pPr>
        <w:spacing w:before="36" w:after="36"/>
        <w:ind w:left="300"/>
      </w:pPr>
      <w:r>
        <w:rPr>
          <w:sz w:val="19"/>
          <w:szCs w:val="19"/>
        </w:rPr>
        <w:t xml:space="preserve">GAAP, but accrued over the vesting period under IFRS. For a </w:t>
      </w:r>
      <w:r>
        <w:rPr>
          <w:u w:val="single"/>
          <w:sz w:val="19"/>
          <w:szCs w:val="19"/>
        </w:rPr>
        <w:t xml:space="preserve">                      </w:t>
      </w:r>
      <w:r>
        <w:rPr>
          <w:sz w:val="19"/>
          <w:szCs w:val="19"/>
        </w:rPr>
        <w:t xml:space="preserve">, both frameworks put </w:t>
      </w:r>
      <w:r>
        <w:rPr>
          <w:u w:val="single"/>
          <w:sz w:val="19"/>
          <w:szCs w:val="19"/>
        </w:rPr>
        <w:t xml:space="preserve">                </w:t>
      </w:r>
      <w:r>
        <w:rPr>
          <w:sz w:val="19"/>
          <w:szCs w:val="19"/>
        </w:rPr>
        <w:t xml:space="preserve"> in OCI. GAAP later amortizes them into net income; IAS 19 never reclassifies them. Share-based payments and employee benefits: U.S.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recoverable amount   ·   revaluation model   ·   cash-generating unit   ·   value in use   ·   fair value less costs of disposal</w:t>
      </w:r>
    </w:p>
    <w:p>
      <w:pPr>
        <w:spacing w:before="36" w:after="36"/>
        <w:ind w:left="300"/>
      </w:pPr>
      <w:r>
        <w:rPr>
          <w:sz w:val="19"/>
          <w:szCs w:val="19"/>
        </w:rPr>
        <w:t xml:space="preserve">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 Because there is no undiscounted screen, IFRS losses often come earlier.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component depreciation   ·   fair value less costs of disposal   ·   value in use   ·   revaluation model   ·   recoverable amount   ·   cash-generating unit</w:t>
      </w:r>
    </w:p>
    <w:p>
      <w:pPr>
        <w:spacing w:before="36" w:after="36"/>
        <w:ind w:left="300"/>
      </w:pPr>
      <w:r>
        <w:rPr>
          <w:sz w:val="19"/>
          <w:szCs w:val="19"/>
        </w:rPr>
        <w:t xml:space="preserve">Only if the carrying amount is higher does it measure a loss, equal to the carrying amount minus fair value. It compares the carrying amount of an asset or </w:t>
      </w:r>
      <w:r>
        <w:rPr>
          <w:u w:val="single"/>
          <w:sz w:val="19"/>
          <w:szCs w:val="19"/>
        </w:rPr>
        <w:t xml:space="preserve">                      </w:t>
      </w:r>
      <w:r>
        <w:rPr>
          <w:sz w:val="19"/>
          <w:szCs w:val="19"/>
        </w:rPr>
        <w:t xml:space="preserve"> with its </w:t>
      </w:r>
      <w:r>
        <w:rPr>
          <w:u w:val="single"/>
          <w:sz w:val="19"/>
          <w:szCs w:val="19"/>
        </w:rPr>
        <w:t xml:space="preserve">                    </w:t>
      </w:r>
      <w:r>
        <w:rPr>
          <w:sz w:val="19"/>
          <w:szCs w:val="19"/>
        </w:rPr>
        <w:t xml:space="preserve">: the higher of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 discounted cash-flow measure.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17.2?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 Intangible assets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(iii) Inventories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(iv) Leases: the lessee</w:t>
            </w:r>
          </w:p>
        </w:tc>
      </w:tr>
    </w:tbl>
    <w:p>
      <w:pPr>
        <w:spacing w:before="40" w:after="16"/>
        <w:ind w:left="300" w:hanging="300"/>
      </w:pPr>
      <w:r>
        <w:rPr>
          <w:b/>
          <w:bCs/>
          <w:color w:val="353A7C"/>
          <w:sz w:val="19"/>
          <w:szCs w:val="19"/>
        </w:rPr>
        <w:t xml:space="preserve">6.  </w:t>
      </w:r>
      <w:r>
        <w:rPr>
          <w:sz w:val="19"/>
          <w:szCs w:val="19"/>
        </w:rPr>
        <w:t xml:space="preserve">Which part of this chapter is section 17.3?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(vi) Impairment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(iii) Inventories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 Long-lived assets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(ii) Intangible assets</w:t>
            </w:r>
          </w:p>
        </w:tc>
      </w:tr>
    </w:tbl>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17.3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17.6</w:t>
            </w:r>
          </w:p>
        </w:tc>
      </w:tr>
    </w:tbl>
    <w:p/>
    <w:p>
      <w:pPr>
        <w:spacing w:before="24" w:after="24"/>
        <w:ind w:left="300" w:hanging="300"/>
      </w:pPr>
      <w:r>
        <w:rPr>
          <w:b/>
          <w:bCs/>
          <w:color w:val="353A7C"/>
          <w:sz w:val="18"/>
          <w:szCs w:val="18"/>
        </w:rPr>
        <w:t xml:space="preserve">7.  </w:t>
      </w:r>
      <w:r>
        <w:rPr>
          <w:sz w:val="18"/>
          <w:szCs w:val="18"/>
        </w:rPr>
        <w:t xml:space="preserve">(i) Share-based payments and employee benefits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(ii) Intangible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(iii) Inventories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(iv) Leases: the lessee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(v) Long-lived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(vi) Impairment</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A French subsidiary using IFRS wants to adopt LIFO to lower its taxable profit. Under IFRS, it:</w:t>
      </w:r>
    </w:p>
    <w:p>
      <w:pPr>
        <w:spacing w:after="18"/>
        <w:ind w:left="560" w:hanging="260"/>
      </w:pPr>
      <w:r>
        <w:rPr>
          <w:b/>
          <w:bCs/>
          <w:color w:val="8186EF"/>
          <w:sz w:val="18"/>
          <w:szCs w:val="18"/>
        </w:rPr>
        <w:t xml:space="preserve">A. </w:t>
      </w:r>
      <w:r>
        <w:rPr>
          <w:sz w:val="18"/>
          <w:szCs w:val="18"/>
        </w:rPr>
        <w:t xml:space="preserve">cannot use LIFO</w:t>
      </w:r>
    </w:p>
    <w:p>
      <w:pPr>
        <w:spacing w:after="18"/>
        <w:ind w:left="560" w:hanging="260"/>
      </w:pPr>
      <w:r>
        <w:rPr>
          <w:b/>
          <w:bCs/>
          <w:color w:val="8186EF"/>
          <w:sz w:val="18"/>
          <w:szCs w:val="18"/>
        </w:rPr>
        <w:t xml:space="preserve">B. </w:t>
      </w:r>
      <w:r>
        <w:rPr>
          <w:sz w:val="18"/>
          <w:szCs w:val="18"/>
        </w:rPr>
        <w:t xml:space="preserve">may use LIFO if it also uses it for tax</w:t>
      </w:r>
    </w:p>
    <w:p>
      <w:pPr>
        <w:spacing w:after="18"/>
        <w:ind w:left="560" w:hanging="260"/>
      </w:pPr>
      <w:r>
        <w:rPr>
          <w:b/>
          <w:bCs/>
          <w:color w:val="8186EF"/>
          <w:sz w:val="18"/>
          <w:szCs w:val="18"/>
        </w:rPr>
        <w:t xml:space="preserve">C. </w:t>
      </w:r>
      <w:r>
        <w:rPr>
          <w:sz w:val="18"/>
          <w:szCs w:val="18"/>
        </w:rPr>
        <w:t xml:space="preserve">may use LIFO for part of its inventory</w:t>
      </w:r>
    </w:p>
    <w:p>
      <w:pPr>
        <w:spacing w:after="18"/>
        <w:ind w:left="560" w:hanging="260"/>
      </w:pPr>
      <w:r>
        <w:rPr>
          <w:b/>
          <w:bCs/>
          <w:color w:val="8186EF"/>
          <w:sz w:val="18"/>
          <w:szCs w:val="18"/>
        </w:rPr>
        <w:t xml:space="preserve">D. </w:t>
      </w:r>
      <w:r>
        <w:rPr>
          <w:sz w:val="18"/>
          <w:szCs w:val="18"/>
        </w:rPr>
        <w:t xml:space="preserve">must use LIFO when prices rise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79"/>
        <w:gridCol w:w="2726"/>
        <w:gridCol w:w="369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56"/>
            <w:tcMar>
              <w:top w:type="dxa" w:w="50"/>
              <w:left w:type="dxa" w:w="110"/>
              <w:bottom w:type="dxa" w:w="50"/>
              <w:right w:type="dxa" w:w="110"/>
            </w:tcMar>
          </w:tcPr>
          <w:p>
            <w:pPr>
              <w:spacing w:before="26" w:after="26"/>
            </w:pPr>
            <w:r>
              <w:rPr>
                <w:b/>
                <w:bCs/>
                <w:color w:val="353A7C"/>
                <w:sz w:val="15"/>
                <w:szCs w:val="15"/>
              </w:rPr>
              <w:t xml:space="preserve">Topic</w:t>
            </w:r>
          </w:p>
        </w:tc>
        <w:tc>
          <w:tcPr>
            <w:tcW w:type="pct" w:w="1420"/>
            <w:tcMar>
              <w:top w:type="dxa" w:w="50"/>
              <w:left w:type="dxa" w:w="110"/>
              <w:bottom w:type="dxa" w:w="50"/>
              <w:right w:type="dxa" w:w="110"/>
            </w:tcMar>
          </w:tcPr>
          <w:p>
            <w:pPr>
              <w:spacing w:before="26" w:after="26"/>
            </w:pPr>
            <w:r>
              <w:rPr>
                <w:b/>
                <w:bCs/>
                <w:color w:val="353A7C"/>
                <w:sz w:val="15"/>
                <w:szCs w:val="15"/>
              </w:rPr>
              <w:t xml:space="preserve">U.S. GAAP (ASC 842)</w:t>
            </w:r>
          </w:p>
        </w:tc>
        <w:tc>
          <w:tcPr>
            <w:tcW w:type="pct" w:w="1924"/>
            <w:tcMar>
              <w:top w:type="dxa" w:w="50"/>
              <w:left w:type="dxa" w:w="110"/>
              <w:bottom w:type="dxa" w:w="50"/>
              <w:right w:type="dxa" w:w="110"/>
            </w:tcMar>
          </w:tcPr>
          <w:p>
            <w:pPr>
              <w:spacing w:before="26" w:after="26"/>
            </w:pPr>
            <w:r>
              <w:rPr>
                <w:b/>
                <w:bCs/>
                <w:color w:val="353A7C"/>
                <w:sz w:val="15"/>
                <w:szCs w:val="15"/>
              </w:rPr>
              <w:t xml:space="preserve">IFRS 16</w:t>
            </w:r>
          </w:p>
        </w:tc>
      </w:tr>
      <w:tr>
        <w:tc>
          <w:tcPr>
            <w:tcW w:type="pct" w:w="1656"/>
            <w:tcMar>
              <w:top w:type="dxa" w:w="50"/>
              <w:left w:type="dxa" w:w="110"/>
              <w:bottom w:type="dxa" w:w="50"/>
              <w:right w:type="dxa" w:w="110"/>
            </w:tcMar>
          </w:tcPr>
          <w:p>
            <w:pPr>
              <w:spacing w:before="26" w:after="26"/>
            </w:pPr>
            <w:r>
              <w:rPr>
                <w:color w:val="232733"/>
                <w:sz w:val="16"/>
                <w:szCs w:val="16"/>
              </w:rPr>
              <w:t xml:space="preserve">Lessee models</w:t>
            </w:r>
          </w:p>
        </w:tc>
        <w:tc>
          <w:tcPr>
            <w:tcW w:type="pct" w:w="1420"/>
            <w:tcMar>
              <w:top w:type="dxa" w:w="50"/>
              <w:left w:type="dxa" w:w="110"/>
              <w:bottom w:type="dxa" w:w="50"/>
              <w:right w:type="dxa" w:w="110"/>
            </w:tcMar>
          </w:tcPr>
          <w:p>
            <w:pPr>
              <w:spacing w:before="26" w:after="26"/>
            </w:pPr>
            <w:r>
              <w:rPr>
                <w:color w:val="232733"/>
                <w:sz w:val="16"/>
                <w:szCs w:val="16"/>
              </w:rPr>
              <w:t xml:space="preserve">Two: finance and operating</w:t>
            </w:r>
          </w:p>
        </w:tc>
        <w:tc>
          <w:tcPr>
            <w:tcW w:type="pct" w:w="1924"/>
            <w:tcMar>
              <w:top w:type="dxa" w:w="50"/>
              <w:left w:type="dxa" w:w="110"/>
              <w:bottom w:type="dxa" w:w="50"/>
              <w:right w:type="dxa" w:w="110"/>
            </w:tcMar>
          </w:tcPr>
          <w:p>
            <w:pPr>
              <w:spacing w:before="26" w:after="26"/>
            </w:pPr>
            <w:r>
              <w:rPr>
                <w:color w:val="232733"/>
                <w:sz w:val="16"/>
                <w:szCs w:val="16"/>
              </w:rPr>
              <w:t xml:space="preserve">One: all leases like finance leases</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Warehouse lease, 2026 expense (Chapter 14)</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One straight-line lease cost: 100,000</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Depreciation 84,247 + interest 25,274 = 109,521</w:t>
            </w:r>
          </w:p>
        </w:tc>
      </w:tr>
      <w:tr>
        <w:tc>
          <w:tcPr>
            <w:tcW w:type="pct" w:w="1656"/>
            <w:tcMar>
              <w:top w:type="dxa" w:w="50"/>
              <w:left w:type="dxa" w:w="110"/>
              <w:bottom w:type="dxa" w:w="50"/>
              <w:right w:type="dxa" w:w="110"/>
            </w:tcMar>
          </w:tcPr>
          <w:p>
            <w:pPr>
              <w:spacing w:before="26" w:after="26"/>
            </w:pPr>
            <w:r>
              <w:rPr>
                <w:color w:val="232733"/>
                <w:sz w:val="16"/>
                <w:szCs w:val="16"/>
              </w:rPr>
              <w:t xml:space="preserve">Low-value assets</w:t>
            </w:r>
          </w:p>
        </w:tc>
        <w:tc>
          <w:tcPr>
            <w:tcW w:type="pct" w:w="1420"/>
            <w:tcMar>
              <w:top w:type="dxa" w:w="50"/>
              <w:left w:type="dxa" w:w="110"/>
              <w:bottom w:type="dxa" w:w="50"/>
              <w:right w:type="dxa" w:w="110"/>
            </w:tcMar>
          </w:tcPr>
          <w:p>
            <w:pPr>
              <w:spacing w:before="26" w:after="26"/>
            </w:pPr>
            <w:r>
              <w:rPr>
                <w:color w:val="232733"/>
                <w:sz w:val="16"/>
                <w:szCs w:val="16"/>
              </w:rPr>
              <w:t xml:space="preserve">No exemption</w:t>
            </w:r>
          </w:p>
        </w:tc>
        <w:tc>
          <w:tcPr>
            <w:tcW w:type="pct" w:w="1924"/>
            <w:tcMar>
              <w:top w:type="dxa" w:w="50"/>
              <w:left w:type="dxa" w:w="110"/>
              <w:bottom w:type="dxa" w:w="50"/>
              <w:right w:type="dxa" w:w="110"/>
            </w:tcMar>
          </w:tcPr>
          <w:p>
            <w:pPr>
              <w:spacing w:before="26" w:after="26"/>
            </w:pPr>
            <w:r>
              <w:rPr>
                <w:color w:val="232733"/>
                <w:sz w:val="16"/>
                <w:szCs w:val="16"/>
              </w:rPr>
              <w:t xml:space="preserve">Exemption allowed</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Index-linked payments (CPI)</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Not remeasured</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Liability remeasured</w:t>
            </w:r>
          </w:p>
        </w:tc>
      </w:tr>
      <w:tr>
        <w:tc>
          <w:tcPr>
            <w:tcW w:type="pct" w:w="1656"/>
            <w:tcMar>
              <w:top w:type="dxa" w:w="50"/>
              <w:left w:type="dxa" w:w="110"/>
              <w:bottom w:type="dxa" w:w="50"/>
              <w:right w:type="dxa" w:w="110"/>
            </w:tcMar>
          </w:tcPr>
          <w:p>
            <w:pPr>
              <w:spacing w:before="26" w:after="26"/>
            </w:pPr>
            <w:r>
              <w:rPr>
                <w:color w:val="232733"/>
                <w:sz w:val="16"/>
                <w:szCs w:val="16"/>
              </w:rPr>
              <w:t xml:space="preserve">Cash flow: operating-lease payment</w:t>
            </w:r>
          </w:p>
        </w:tc>
        <w:tc>
          <w:tcPr>
            <w:tcW w:type="pct" w:w="1420"/>
            <w:tcMar>
              <w:top w:type="dxa" w:w="50"/>
              <w:left w:type="dxa" w:w="110"/>
              <w:bottom w:type="dxa" w:w="50"/>
              <w:right w:type="dxa" w:w="110"/>
            </w:tcMar>
          </w:tcPr>
          <w:p>
            <w:pPr>
              <w:spacing w:before="26" w:after="26"/>
            </w:pPr>
            <w:r>
              <w:rPr>
                <w:color w:val="232733"/>
                <w:sz w:val="16"/>
                <w:szCs w:val="16"/>
              </w:rPr>
              <w:t xml:space="preserve">Operating</w:t>
            </w:r>
          </w:p>
        </w:tc>
        <w:tc>
          <w:tcPr>
            <w:tcW w:type="pct" w:w="1924"/>
            <w:tcMar>
              <w:top w:type="dxa" w:w="50"/>
              <w:left w:type="dxa" w:w="110"/>
              <w:bottom w:type="dxa" w:w="50"/>
              <w:right w:type="dxa" w:w="110"/>
            </w:tcMar>
          </w:tcPr>
          <w:p>
            <w:pPr>
              <w:spacing w:before="26" w:after="26"/>
            </w:pPr>
            <w:r>
              <w:rPr>
                <w:color w:val="232733"/>
                <w:sz w:val="16"/>
                <w:szCs w:val="16"/>
              </w:rPr>
              <w:t xml:space="preserve">Principal: financing; interest: by policy</w:t>
            </w:r>
          </w:p>
        </w:tc>
      </w:tr>
      <w:tr>
        <w:tc>
          <w:tcPr>
            <w:tcW w:type="pct" w:w="1656"/>
            <w:shd w:fill="FBFAF6" w:val="clear"/>
            <w:tcMar>
              <w:top w:type="dxa" w:w="50"/>
              <w:left w:type="dxa" w:w="110"/>
              <w:bottom w:type="dxa" w:w="50"/>
              <w:right w:type="dxa" w:w="110"/>
            </w:tcMar>
          </w:tcPr>
          <w:p>
            <w:pPr>
              <w:spacing w:before="26" w:after="26"/>
            </w:pPr>
            <w:r>
              <w:rPr>
                <w:color w:val="232733"/>
                <w:sz w:val="16"/>
                <w:szCs w:val="16"/>
              </w:rPr>
              <w:t xml:space="preserve">Sale and leaseback gain</w:t>
            </w:r>
          </w:p>
        </w:tc>
        <w:tc>
          <w:tcPr>
            <w:tcW w:type="pct" w:w="1420"/>
            <w:shd w:fill="FBFAF6" w:val="clear"/>
            <w:tcMar>
              <w:top w:type="dxa" w:w="50"/>
              <w:left w:type="dxa" w:w="110"/>
              <w:bottom w:type="dxa" w:w="50"/>
              <w:right w:type="dxa" w:w="110"/>
            </w:tcMar>
          </w:tcPr>
          <w:p>
            <w:pPr>
              <w:spacing w:before="26" w:after="26"/>
            </w:pPr>
            <w:r>
              <w:rPr>
                <w:color w:val="232733"/>
                <w:sz w:val="16"/>
                <w:szCs w:val="16"/>
              </w:rPr>
              <w:t xml:space="preserve">Full gain if a sale</w:t>
            </w:r>
          </w:p>
        </w:tc>
        <w:tc>
          <w:tcPr>
            <w:tcW w:type="pct" w:w="1924"/>
            <w:shd w:fill="FBFAF6" w:val="clear"/>
            <w:tcMar>
              <w:top w:type="dxa" w:w="50"/>
              <w:left w:type="dxa" w:w="110"/>
              <w:bottom w:type="dxa" w:w="50"/>
              <w:right w:type="dxa" w:w="110"/>
            </w:tcMar>
          </w:tcPr>
          <w:p>
            <w:pPr>
              <w:spacing w:before="26" w:after="26"/>
            </w:pPr>
            <w:r>
              <w:rPr>
                <w:color w:val="232733"/>
                <w:sz w:val="16"/>
                <w:szCs w:val="16"/>
              </w:rPr>
              <w:t xml:space="preserve">Gain only on the rights transferred</w:t>
            </w:r>
          </w:p>
        </w:tc>
      </w:tr>
    </w:tbl>
    <w:p/>
    <w:p>
      <w:pPr>
        <w:spacing w:before="40" w:after="16"/>
        <w:ind w:left="300" w:hanging="300"/>
      </w:pPr>
      <w:r>
        <w:rPr>
          <w:b/>
          <w:bCs/>
          <w:color w:val="353A7C"/>
          <w:sz w:val="19"/>
          <w:szCs w:val="19"/>
        </w:rPr>
        <w:t xml:space="preserve">14.  </w:t>
      </w:r>
      <w:r>
        <w:rPr>
          <w:sz w:val="19"/>
          <w:szCs w:val="19"/>
        </w:rPr>
        <w:t xml:space="preserve">The extract for this question is printed with it. What is the warehouse lease expense for 2026 under IFRS 16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25,274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84,247</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109,521</w:t>
            </w:r>
          </w:p>
        </w:tc>
      </w:tr>
    </w:tbl>
    <w:p>
      <w:pPr>
        <w:spacing w:before="40" w:after="16"/>
        <w:ind w:left="300" w:hanging="300"/>
      </w:pPr>
      <w:r>
        <w:rPr>
          <w:b/>
          <w:bCs/>
          <w:color w:val="353A7C"/>
          <w:sz w:val="19"/>
          <w:szCs w:val="19"/>
        </w:rPr>
        <w:t xml:space="preserve">15.  </w:t>
      </w:r>
      <w:r>
        <w:rPr>
          <w:sz w:val="19"/>
          <w:szCs w:val="19"/>
        </w:rPr>
        <w:t xml:space="preserve">Which lessee rule exists under IFRS 16 but NOT under ASC 842?</w:t>
      </w:r>
    </w:p>
    <w:p>
      <w:pPr>
        <w:spacing w:after="18"/>
        <w:ind w:left="560" w:hanging="260"/>
      </w:pPr>
      <w:r>
        <w:rPr>
          <w:b/>
          <w:bCs/>
          <w:color w:val="8186EF"/>
          <w:sz w:val="18"/>
          <w:szCs w:val="18"/>
        </w:rPr>
        <w:t xml:space="preserve">A. </w:t>
      </w:r>
      <w:r>
        <w:rPr>
          <w:sz w:val="18"/>
          <w:szCs w:val="18"/>
        </w:rPr>
        <w:t xml:space="preserve">An exemption for leases of 12 months or less</w:t>
      </w:r>
    </w:p>
    <w:p>
      <w:pPr>
        <w:spacing w:after="18"/>
        <w:ind w:left="560" w:hanging="260"/>
      </w:pPr>
      <w:r>
        <w:rPr>
          <w:b/>
          <w:bCs/>
          <w:color w:val="8186EF"/>
          <w:sz w:val="18"/>
          <w:szCs w:val="18"/>
        </w:rPr>
        <w:t xml:space="preserve">B. </w:t>
      </w:r>
      <w:r>
        <w:rPr>
          <w:sz w:val="18"/>
          <w:szCs w:val="18"/>
        </w:rPr>
        <w:t xml:space="preserve">A right-of-use asset for most leases</w:t>
      </w:r>
    </w:p>
    <w:p>
      <w:pPr>
        <w:spacing w:after="18"/>
        <w:ind w:left="560" w:hanging="260"/>
      </w:pPr>
      <w:r>
        <w:rPr>
          <w:b/>
          <w:bCs/>
          <w:color w:val="8186EF"/>
          <w:sz w:val="18"/>
          <w:szCs w:val="18"/>
        </w:rPr>
        <w:t xml:space="preserve">C. </w:t>
      </w:r>
      <w:r>
        <w:rPr>
          <w:sz w:val="18"/>
          <w:szCs w:val="18"/>
        </w:rPr>
        <w:t xml:space="preserve">An exemption for leases of low-value assets</w:t>
      </w:r>
    </w:p>
    <w:p>
      <w:pPr>
        <w:spacing w:after="18"/>
        <w:ind w:left="560" w:hanging="260"/>
      </w:pPr>
      <w:r>
        <w:rPr>
          <w:b/>
          <w:bCs/>
          <w:color w:val="8186EF"/>
          <w:sz w:val="18"/>
          <w:szCs w:val="18"/>
        </w:rPr>
        <w:t xml:space="preserve">D. </w:t>
      </w:r>
      <w:r>
        <w:rPr>
          <w:sz w:val="18"/>
          <w:szCs w:val="18"/>
        </w:rPr>
        <w:t xml:space="preserve">Discounting the lease payments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11"/>
        <w:gridCol w:w="3125"/>
        <w:gridCol w:w="33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20"/>
            <w:tcMar>
              <w:top w:type="dxa" w:w="50"/>
              <w:left w:type="dxa" w:w="110"/>
              <w:bottom w:type="dxa" w:w="50"/>
              <w:right w:type="dxa" w:w="110"/>
            </w:tcMar>
          </w:tcPr>
          <w:p>
            <w:pPr>
              <w:spacing w:before="26" w:after="26"/>
            </w:pPr>
            <w:r>
              <w:rPr>
                <w:b/>
                <w:bCs/>
                <w:color w:val="353A7C"/>
                <w:sz w:val="15"/>
                <w:szCs w:val="15"/>
              </w:rPr>
              <w:t xml:space="preserve">Topic</w:t>
            </w:r>
          </w:p>
        </w:tc>
        <w:tc>
          <w:tcPr>
            <w:tcW w:type="pct" w:w="1628"/>
            <w:tcMar>
              <w:top w:type="dxa" w:w="50"/>
              <w:left w:type="dxa" w:w="110"/>
              <w:bottom w:type="dxa" w:w="50"/>
              <w:right w:type="dxa" w:w="110"/>
            </w:tcMar>
          </w:tcPr>
          <w:p>
            <w:pPr>
              <w:spacing w:before="26" w:after="26"/>
            </w:pPr>
            <w:r>
              <w:rPr>
                <w:b/>
                <w:bCs/>
                <w:color w:val="353A7C"/>
                <w:sz w:val="15"/>
                <w:szCs w:val="15"/>
              </w:rPr>
              <w:t xml:space="preserve">U.S. GAAP (ASC 360, 835)</w:t>
            </w:r>
          </w:p>
        </w:tc>
        <w:tc>
          <w:tcPr>
            <w:tcW w:type="pct" w:w="1752"/>
            <w:tcMar>
              <w:top w:type="dxa" w:w="50"/>
              <w:left w:type="dxa" w:w="110"/>
              <w:bottom w:type="dxa" w:w="50"/>
              <w:right w:type="dxa" w:w="110"/>
            </w:tcMar>
          </w:tcPr>
          <w:p>
            <w:pPr>
              <w:spacing w:before="26" w:after="26"/>
            </w:pPr>
            <w:r>
              <w:rPr>
                <w:b/>
                <w:bCs/>
                <w:color w:val="353A7C"/>
                <w:sz w:val="15"/>
                <w:szCs w:val="15"/>
              </w:rPr>
              <w:t xml:space="preserve">IFRS (IAS 16, 23, 40)</w:t>
            </w:r>
          </w:p>
        </w:tc>
      </w:tr>
      <w:tr>
        <w:tc>
          <w:tcPr>
            <w:tcW w:type="pct" w:w="1620"/>
            <w:tcMar>
              <w:top w:type="dxa" w:w="50"/>
              <w:left w:type="dxa" w:w="110"/>
              <w:bottom w:type="dxa" w:w="50"/>
              <w:right w:type="dxa" w:w="110"/>
            </w:tcMar>
          </w:tcPr>
          <w:p>
            <w:pPr>
              <w:spacing w:before="26" w:after="26"/>
            </w:pPr>
            <w:r>
              <w:rPr>
                <w:color w:val="232733"/>
                <w:sz w:val="16"/>
                <w:szCs w:val="16"/>
              </w:rPr>
              <w:t xml:space="preserve">Land in Amman: cost 2,000,000, fair value 2,600,000</w:t>
            </w:r>
          </w:p>
        </w:tc>
        <w:tc>
          <w:tcPr>
            <w:tcW w:type="pct" w:w="1628"/>
            <w:tcMar>
              <w:top w:type="dxa" w:w="50"/>
              <w:left w:type="dxa" w:w="110"/>
              <w:bottom w:type="dxa" w:w="50"/>
              <w:right w:type="dxa" w:w="110"/>
            </w:tcMar>
          </w:tcPr>
          <w:p>
            <w:pPr>
              <w:spacing w:before="26" w:after="26"/>
            </w:pPr>
            <w:r>
              <w:rPr>
                <w:color w:val="232733"/>
                <w:sz w:val="16"/>
                <w:szCs w:val="16"/>
              </w:rPr>
              <w:t xml:space="preserve">Stays at 2,000,000</w:t>
            </w:r>
          </w:p>
        </w:tc>
        <w:tc>
          <w:tcPr>
            <w:tcW w:type="pct" w:w="1752"/>
            <w:tcMar>
              <w:top w:type="dxa" w:w="50"/>
              <w:left w:type="dxa" w:w="110"/>
              <w:bottom w:type="dxa" w:w="50"/>
              <w:right w:type="dxa" w:w="110"/>
            </w:tcMar>
          </w:tcPr>
          <w:p>
            <w:pPr>
              <w:spacing w:before="26" w:after="26"/>
            </w:pPr>
            <w:r>
              <w:rPr>
                <w:color w:val="232733"/>
                <w:sz w:val="16"/>
                <w:szCs w:val="16"/>
              </w:rPr>
              <w:t xml:space="preserve">Revaluation model: 2,600,000; surplus 600,000 in OCI</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Allowed, not required</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Required for significant parts</w:t>
            </w:r>
          </w:p>
        </w:tc>
      </w:tr>
      <w:tr>
        <w:tc>
          <w:tcPr>
            <w:tcW w:type="pct" w:w="1620"/>
            <w:tcMar>
              <w:top w:type="dxa" w:w="50"/>
              <w:left w:type="dxa" w:w="110"/>
              <w:bottom w:type="dxa" w:w="50"/>
              <w:right w:type="dxa" w:w="110"/>
            </w:tcMar>
          </w:tcPr>
          <w:p>
            <w:pPr>
              <w:spacing w:before="26" w:after="26"/>
            </w:pPr>
            <w:r>
              <w:rPr>
                <w:color w:val="232733"/>
                <w:sz w:val="16"/>
                <w:szCs w:val="16"/>
              </w:rPr>
              <w:t xml:space="preserve">Review of lives and residual values</w:t>
            </w:r>
          </w:p>
        </w:tc>
        <w:tc>
          <w:tcPr>
            <w:tcW w:type="pct" w:w="1628"/>
            <w:tcMar>
              <w:top w:type="dxa" w:w="50"/>
              <w:left w:type="dxa" w:w="110"/>
              <w:bottom w:type="dxa" w:w="50"/>
              <w:right w:type="dxa" w:w="110"/>
            </w:tcMar>
          </w:tcPr>
          <w:p>
            <w:pPr>
              <w:spacing w:before="26" w:after="26"/>
            </w:pPr>
            <w:r>
              <w:rPr>
                <w:color w:val="232733"/>
                <w:sz w:val="16"/>
                <w:szCs w:val="16"/>
              </w:rPr>
              <w:t xml:space="preserve">When events suggest a change</w:t>
            </w:r>
          </w:p>
        </w:tc>
        <w:tc>
          <w:tcPr>
            <w:tcW w:type="pct" w:w="1752"/>
            <w:tcMar>
              <w:top w:type="dxa" w:w="50"/>
              <w:left w:type="dxa" w:w="110"/>
              <w:bottom w:type="dxa" w:w="50"/>
              <w:right w:type="dxa" w:w="110"/>
            </w:tcMar>
          </w:tcPr>
          <w:p>
            <w:pPr>
              <w:spacing w:before="26" w:after="26"/>
            </w:pPr>
            <w:r>
              <w:rPr>
                <w:color w:val="232733"/>
                <w:sz w:val="16"/>
                <w:szCs w:val="16"/>
              </w:rPr>
              <w:t xml:space="preserve">At least every year</w:t>
            </w:r>
          </w:p>
        </w:tc>
      </w:tr>
      <w:tr>
        <w:tc>
          <w:tcPr>
            <w:tcW w:type="pct" w:w="1620"/>
            <w:shd w:fill="FBFAF6" w:val="clear"/>
            <w:tcMar>
              <w:top w:type="dxa" w:w="50"/>
              <w:left w:type="dxa" w:w="110"/>
              <w:bottom w:type="dxa" w:w="50"/>
              <w:right w:type="dxa" w:w="110"/>
            </w:tcMar>
          </w:tcPr>
          <w:p>
            <w:pPr>
              <w:spacing w:before="26" w:after="26"/>
            </w:pPr>
            <w:r>
              <w:rPr>
                <w:color w:val="232733"/>
                <w:sz w:val="16"/>
                <w:szCs w:val="16"/>
              </w:rPr>
              <w:t xml:space="preserve">Borrowing costs on a new plant</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Capitalized; investment income generally not offset</w:t>
            </w:r>
          </w:p>
        </w:tc>
        <w:tc>
          <w:tcPr>
            <w:tcW w:type="pct" w:w="1752"/>
            <w:shd w:fill="FBFAF6" w:val="clear"/>
            <w:tcMar>
              <w:top w:type="dxa" w:w="50"/>
              <w:left w:type="dxa" w:w="110"/>
              <w:bottom w:type="dxa" w:w="50"/>
              <w:right w:type="dxa" w:w="110"/>
            </w:tcMar>
          </w:tcPr>
          <w:p>
            <w:pPr>
              <w:spacing w:before="26" w:after="26"/>
            </w:pPr>
            <w:r>
              <w:rPr>
                <w:color w:val="232733"/>
                <w:sz w:val="16"/>
                <w:szCs w:val="16"/>
              </w:rPr>
              <w:t xml:space="preserve">Capitalized; income on specific borrowings deducted</w:t>
            </w:r>
          </w:p>
        </w:tc>
      </w:tr>
      <w:tr>
        <w:tc>
          <w:tcPr>
            <w:tcW w:type="pct" w:w="1620"/>
            <w:tcMar>
              <w:top w:type="dxa" w:w="50"/>
              <w:left w:type="dxa" w:w="110"/>
              <w:bottom w:type="dxa" w:w="50"/>
              <w:right w:type="dxa" w:w="110"/>
            </w:tcMar>
          </w:tcPr>
          <w:p>
            <w:pPr>
              <w:spacing w:before="26" w:after="26"/>
            </w:pPr>
            <w:r>
              <w:rPr>
                <w:color w:val="232733"/>
                <w:sz w:val="16"/>
                <w:szCs w:val="16"/>
              </w:rPr>
              <w:t xml:space="preserve">Investment property</w:t>
            </w:r>
          </w:p>
        </w:tc>
        <w:tc>
          <w:tcPr>
            <w:tcW w:type="pct" w:w="1628"/>
            <w:tcMar>
              <w:top w:type="dxa" w:w="50"/>
              <w:left w:type="dxa" w:w="110"/>
              <w:bottom w:type="dxa" w:w="50"/>
              <w:right w:type="dxa" w:w="110"/>
            </w:tcMar>
          </w:tcPr>
          <w:p>
            <w:pPr>
              <w:spacing w:before="26" w:after="26"/>
            </w:pPr>
            <w:r>
              <w:rPr>
                <w:color w:val="232733"/>
                <w:sz w:val="16"/>
                <w:szCs w:val="16"/>
              </w:rPr>
              <w:t xml:space="preserve">No separate category: cost model</w:t>
            </w:r>
          </w:p>
        </w:tc>
        <w:tc>
          <w:tcPr>
            <w:tcW w:type="pct" w:w="1752"/>
            <w:tcMar>
              <w:top w:type="dxa" w:w="50"/>
              <w:left w:type="dxa" w:w="110"/>
              <w:bottom w:type="dxa" w:w="50"/>
              <w:right w:type="dxa" w:w="110"/>
            </w:tcMar>
          </w:tcPr>
          <w:p>
            <w:pPr>
              <w:spacing w:before="26" w:after="26"/>
            </w:pPr>
            <w:r>
              <w:rPr>
                <w:color w:val="232733"/>
                <w:sz w:val="16"/>
                <w:szCs w:val="16"/>
              </w:rPr>
              <w:t xml:space="preserve">Fair value or cost model (IAS 40)</w:t>
            </w:r>
          </w:p>
        </w:tc>
      </w:tr>
    </w:tbl>
    <w:p/>
    <w:p>
      <w:pPr>
        <w:spacing w:before="40" w:after="16"/>
        <w:ind w:left="300" w:hanging="300"/>
      </w:pPr>
      <w:r>
        <w:rPr>
          <w:b/>
          <w:bCs/>
          <w:color w:val="353A7C"/>
          <w:sz w:val="19"/>
          <w:szCs w:val="19"/>
        </w:rPr>
        <w:t xml:space="preserve">16.  </w:t>
      </w:r>
      <w:r>
        <w:rPr>
          <w:sz w:val="19"/>
          <w:szCs w:val="19"/>
        </w:rPr>
        <w:t xml:space="preserve">The extract for this question is printed with it. Under IFRS with the revaluation model, where does the $600,000 increase in the land's value go?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To net income as a gain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To retained earnings directly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Nowhere; land stays at cost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To OCI, as a revaluation surplus</w:t>
            </w:r>
          </w:p>
        </w:tc>
      </w:tr>
    </w:tbl>
    <w:p>
      <w:pPr>
        <w:spacing w:before="40" w:after="16"/>
        <w:ind w:left="300" w:hanging="300"/>
      </w:pPr>
      <w:r>
        <w:rPr>
          <w:b/>
          <w:bCs/>
          <w:color w:val="353A7C"/>
          <w:sz w:val="19"/>
          <w:szCs w:val="19"/>
        </w:rPr>
        <w:t xml:space="preserve">17.  </w:t>
      </w:r>
      <w:r>
        <w:rPr>
          <w:sz w:val="19"/>
          <w:szCs w:val="19"/>
        </w:rPr>
        <w:t xml:space="preserve">An aircraft has an engine that lasts 5 years and a body that lasts 25 years. Which statement is correct?</w:t>
      </w:r>
    </w:p>
    <w:p>
      <w:pPr>
        <w:spacing w:after="18"/>
        <w:ind w:left="560" w:hanging="260"/>
      </w:pPr>
      <w:r>
        <w:rPr>
          <w:b/>
          <w:bCs/>
          <w:color w:val="8186EF"/>
          <w:sz w:val="18"/>
          <w:szCs w:val="18"/>
        </w:rPr>
        <w:t xml:space="preserve">A. </w:t>
      </w:r>
      <w:r>
        <w:rPr>
          <w:sz w:val="18"/>
          <w:szCs w:val="18"/>
        </w:rPr>
        <w:t xml:space="preserve">IFRS requires the parts to be depreciated separately; U.S. GAAP allows but does not require it</w:t>
      </w:r>
    </w:p>
    <w:p>
      <w:pPr>
        <w:spacing w:after="18"/>
        <w:ind w:left="560" w:hanging="260"/>
      </w:pPr>
      <w:r>
        <w:rPr>
          <w:b/>
          <w:bCs/>
          <w:color w:val="8186EF"/>
          <w:sz w:val="18"/>
          <w:szCs w:val="18"/>
        </w:rPr>
        <w:t xml:space="preserve">B. </w:t>
      </w:r>
      <w:r>
        <w:rPr>
          <w:sz w:val="18"/>
          <w:szCs w:val="18"/>
        </w:rPr>
        <w:t xml:space="preserve">U.S. GAAP requires component depreciation; IFRS does not</w:t>
      </w:r>
    </w:p>
    <w:p>
      <w:pPr>
        <w:spacing w:after="18"/>
        <w:ind w:left="560" w:hanging="260"/>
      </w:pPr>
      <w:r>
        <w:rPr>
          <w:b/>
          <w:bCs/>
          <w:color w:val="8186EF"/>
          <w:sz w:val="18"/>
          <w:szCs w:val="18"/>
        </w:rPr>
        <w:t xml:space="preserve">C. </w:t>
      </w:r>
      <w:r>
        <w:rPr>
          <w:sz w:val="18"/>
          <w:szCs w:val="18"/>
        </w:rPr>
        <w:t xml:space="preserve">Both prohibit component depreciation</w:t>
      </w:r>
    </w:p>
    <w:p>
      <w:pPr>
        <w:spacing w:after="18"/>
        <w:ind w:left="560" w:hanging="260"/>
      </w:pPr>
      <w:r>
        <w:rPr>
          <w:b/>
          <w:bCs/>
          <w:color w:val="8186EF"/>
          <w:sz w:val="18"/>
          <w:szCs w:val="18"/>
        </w:rPr>
        <w:t xml:space="preserve">D. </w:t>
      </w:r>
      <w:r>
        <w:rPr>
          <w:sz w:val="18"/>
          <w:szCs w:val="18"/>
        </w:rPr>
        <w:t xml:space="preserve">Only the body is depreciated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The extract for this question is printed with it. How much of Orontes's prior service cost is recognized in 2027 net income under IAS 19 and under U.S. GAAP (whole USD)?</w:t>
            </w:r>
          </w:p>
          <w:p>
            <w:pPr>
              <w:spacing w:after="16"/>
              <w:ind w:left="500" w:hanging="200"/>
            </w:pPr>
            <w:r>
              <w:rPr>
                <w:b/>
                <w:bCs/>
                <w:color w:val="8186EF"/>
                <w:sz w:val="18"/>
                <w:szCs w:val="18"/>
              </w:rPr>
              <w:t xml:space="preserve">A. </w:t>
            </w:r>
            <w:r>
              <w:rPr>
                <w:sz w:val="18"/>
                <w:szCs w:val="18"/>
              </w:rPr>
              <w:t xml:space="preserve">IFRS 5,000; U.S. 50,000</w:t>
            </w:r>
          </w:p>
          <w:p>
            <w:pPr>
              <w:spacing w:after="16"/>
              <w:ind w:left="500" w:hanging="200"/>
            </w:pPr>
            <w:r>
              <w:rPr>
                <w:b/>
                <w:bCs/>
                <w:color w:val="8186EF"/>
                <w:sz w:val="18"/>
                <w:szCs w:val="18"/>
              </w:rPr>
              <w:t xml:space="preserve">B. </w:t>
            </w:r>
            <w:r>
              <w:rPr>
                <w:sz w:val="18"/>
                <w:szCs w:val="18"/>
              </w:rPr>
              <w:t xml:space="preserve">Both 50,000</w:t>
            </w:r>
          </w:p>
          <w:p>
            <w:pPr>
              <w:spacing w:after="16"/>
              <w:ind w:left="500" w:hanging="200"/>
            </w:pPr>
            <w:r>
              <w:rPr>
                <w:b/>
                <w:bCs/>
                <w:color w:val="8186EF"/>
                <w:sz w:val="18"/>
                <w:szCs w:val="18"/>
              </w:rPr>
              <w:t xml:space="preserve">C. </w:t>
            </w:r>
            <w:r>
              <w:rPr>
                <w:sz w:val="18"/>
                <w:szCs w:val="18"/>
              </w:rPr>
              <w:t xml:space="preserve">Both 5,000</w:t>
            </w:r>
          </w:p>
          <w:p>
            <w:pPr>
              <w:spacing w:after="16"/>
              <w:ind w:left="500" w:hanging="200"/>
            </w:pPr>
            <w:r>
              <w:rPr>
                <w:b/>
                <w:bCs/>
                <w:color w:val="8186EF"/>
                <w:sz w:val="18"/>
                <w:szCs w:val="18"/>
              </w:rPr>
              <w:t xml:space="preserve">D. </w:t>
            </w:r>
            <w:r>
              <w:rPr>
                <w:sz w:val="18"/>
                <w:szCs w:val="18"/>
              </w:rPr>
              <w:t xml:space="preserve">IFRS 50,000; U.S. 5,000</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C17-1</w:t>
            </w:r>
          </w:p>
        </w:tc>
        <w:tc>
          <w:tcPr>
            <w:tcW w:type="pct" w:w="2939"/>
            <w:tcMar>
              <w:top w:type="dxa" w:w="50"/>
              <w:left w:type="dxa" w:w="110"/>
              <w:bottom w:type="dxa" w:w="50"/>
              <w:right w:type="dxa" w:w="110"/>
            </w:tcMar>
          </w:tcPr>
          <w:p>
            <w:pPr>
              <w:spacing w:before="26" w:after="26"/>
            </w:pPr>
            <w:r>
              <w:rPr>
                <w:color w:val="232733"/>
                <w:sz w:val="16"/>
                <w:szCs w:val="16"/>
              </w:rPr>
              <w:t xml:space="preserve">How does each item change Levant's net income when it is converted to U.S. GAAP? (On the exam screen you would drag each</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net decrease in Levant's 2027 net income on conversion to U.S. GAAP.</w:t>
            </w:r>
          </w:p>
        </w:tc>
      </w:tr>
      <w:tr>
        <w:tc>
          <w:tcPr>
            <w:tcW w:type="pct" w:w="2061"/>
            <w:tcMar>
              <w:top w:type="dxa" w:w="50"/>
              <w:left w:type="dxa" w:w="110"/>
              <w:bottom w:type="dxa" w:w="50"/>
              <w:right w:type="dxa" w:w="110"/>
            </w:tcMar>
          </w:tcPr>
          <w:p>
            <w:pPr>
              <w:spacing w:before="26" w:after="26"/>
            </w:pPr>
            <w:r>
              <w:rPr>
                <w:color w:val="232733"/>
                <w:sz w:val="16"/>
                <w:szCs w:val="16"/>
              </w:rPr>
              <w:t xml:space="preserve">C17-3</w:t>
            </w:r>
          </w:p>
        </w:tc>
        <w:tc>
          <w:tcPr>
            <w:tcW w:type="pct" w:w="2939"/>
            <w:tcMar>
              <w:top w:type="dxa" w:w="50"/>
              <w:left w:type="dxa" w:w="110"/>
              <w:bottom w:type="dxa" w:w="50"/>
              <w:right w:type="dxa" w:w="110"/>
            </w:tcMar>
          </w:tcPr>
          <w:p>
            <w:pPr>
              <w:spacing w:before="26" w:after="26"/>
            </w:pPr>
            <w:r>
              <w:rPr>
                <w:color w:val="232733"/>
                <w:sz w:val="16"/>
                <w:szCs w:val="16"/>
              </w:rPr>
              <w:t xml:space="preserve">Enter Levant's 2027 net income under U.S. GAAP.</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carrying amount of the delivery fleet under U.S. GAAP.</w:t>
            </w:r>
          </w:p>
        </w:tc>
      </w:tr>
      <w:tr>
        <w:tc>
          <w:tcPr>
            <w:tcW w:type="pct" w:w="2061"/>
            <w:tcMar>
              <w:top w:type="dxa" w:w="50"/>
              <w:left w:type="dxa" w:w="110"/>
              <w:bottom w:type="dxa" w:w="50"/>
              <w:right w:type="dxa" w:w="110"/>
            </w:tcMar>
          </w:tcPr>
          <w:p>
            <w:pPr>
              <w:spacing w:before="26" w:after="26"/>
            </w:pPr>
            <w:r>
              <w:rPr>
                <w:color w:val="232733"/>
                <w:sz w:val="16"/>
                <w:szCs w:val="16"/>
              </w:rPr>
              <w:t xml:space="preserve">C17-5</w:t>
            </w:r>
          </w:p>
        </w:tc>
        <w:tc>
          <w:tcPr>
            <w:tcW w:type="pct" w:w="2939"/>
            <w:tcMar>
              <w:top w:type="dxa" w:w="50"/>
              <w:left w:type="dxa" w:w="110"/>
              <w:bottom w:type="dxa" w:w="50"/>
              <w:right w:type="dxa" w:w="110"/>
            </w:tcMar>
          </w:tcPr>
          <w:p>
            <w:pPr>
              <w:spacing w:before="26" w:after="26"/>
            </w:pPr>
            <w:r>
              <w:rPr>
                <w:color w:val="232733"/>
                <w:sz w:val="16"/>
                <w:szCs w:val="16"/>
              </w:rPr>
              <w:t xml:space="preserve">By how much is Levant's equity lower under U.S. GAAP than under IFRS?</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C17-6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Under U.S. GAAP, Levant's 2027 inventory write-down reversal is: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C17-1 ask for?</w:t>
      </w:r>
    </w:p>
    <w:p>
      <w:pPr>
        <w:spacing w:after="18"/>
        <w:ind w:left="560" w:hanging="260"/>
      </w:pPr>
      <w:r>
        <w:rPr>
          <w:b/>
          <w:bCs/>
          <w:color w:val="8186EF"/>
          <w:sz w:val="18"/>
          <w:szCs w:val="18"/>
        </w:rPr>
        <w:t xml:space="preserve">A. </w:t>
      </w:r>
      <w:r>
        <w:rPr>
          <w:sz w:val="18"/>
          <w:szCs w:val="18"/>
        </w:rPr>
        <w:t xml:space="preserve">By how much is Levant's equity lower under U.S. GAAP than under IFRS?</w:t>
      </w:r>
    </w:p>
    <w:p>
      <w:pPr>
        <w:spacing w:after="18"/>
        <w:ind w:left="560" w:hanging="260"/>
      </w:pPr>
      <w:r>
        <w:rPr>
          <w:b/>
          <w:bCs/>
          <w:color w:val="8186EF"/>
          <w:sz w:val="18"/>
          <w:szCs w:val="18"/>
        </w:rPr>
        <w:t xml:space="preserve">B. </w:t>
      </w:r>
      <w:r>
        <w:rPr>
          <w:sz w:val="18"/>
          <w:szCs w:val="18"/>
        </w:rPr>
        <w:t xml:space="preserve">Enter the net decrease in Levant's 2027 net income on conversion to U.</w:t>
      </w:r>
    </w:p>
    <w:p>
      <w:pPr>
        <w:spacing w:after="18"/>
        <w:ind w:left="560" w:hanging="260"/>
      </w:pPr>
      <w:r>
        <w:rPr>
          <w:b/>
          <w:bCs/>
          <w:color w:val="8186EF"/>
          <w:sz w:val="18"/>
          <w:szCs w:val="18"/>
        </w:rPr>
        <w:t xml:space="preserve">C. </w:t>
      </w:r>
      <w:r>
        <w:rPr>
          <w:sz w:val="18"/>
          <w:szCs w:val="18"/>
        </w:rPr>
        <w:t xml:space="preserve">Under U.S. GAAP, Levant's 2027 inventory write-down reversal is: [sele</w:t>
      </w:r>
    </w:p>
    <w:p>
      <w:pPr>
        <w:spacing w:after="18"/>
        <w:ind w:left="560" w:hanging="260"/>
      </w:pPr>
      <w:r>
        <w:rPr>
          <w:b/>
          <w:bCs/>
          <w:color w:val="8186EF"/>
          <w:sz w:val="18"/>
          <w:szCs w:val="18"/>
        </w:rPr>
        <w:t xml:space="preserve">D. </w:t>
      </w:r>
      <w:r>
        <w:rPr>
          <w:sz w:val="18"/>
          <w:szCs w:val="18"/>
        </w:rPr>
        <w:t xml:space="preserve">How does each item change Levant's net income when it is converted to </w:t>
      </w:r>
    </w:p>
    <w:p>
      <w:pPr>
        <w:spacing w:before="40" w:after="16"/>
        <w:ind w:left="300" w:hanging="300"/>
      </w:pPr>
      <w:r>
        <w:rPr>
          <w:b/>
          <w:bCs/>
          <w:color w:val="353A7C"/>
          <w:sz w:val="19"/>
          <w:szCs w:val="19"/>
        </w:rPr>
        <w:t xml:space="preserve">21.  </w:t>
      </w:r>
      <w:r>
        <w:rPr>
          <w:sz w:val="19"/>
          <w:szCs w:val="19"/>
        </w:rPr>
        <w:t xml:space="preserve">Which of these does item C17-2 ask for?</w:t>
      </w:r>
    </w:p>
    <w:p>
      <w:pPr>
        <w:spacing w:after="18"/>
        <w:ind w:left="560" w:hanging="260"/>
      </w:pPr>
      <w:r>
        <w:rPr>
          <w:b/>
          <w:bCs/>
          <w:color w:val="8186EF"/>
          <w:sz w:val="18"/>
          <w:szCs w:val="18"/>
        </w:rPr>
        <w:t xml:space="preserve">A. </w:t>
      </w:r>
      <w:r>
        <w:rPr>
          <w:sz w:val="18"/>
          <w:szCs w:val="18"/>
        </w:rPr>
        <w:t xml:space="preserve">Under U.S. GAAP, Levant's 2027 inventory write-down reversal is: [sele</w:t>
      </w:r>
    </w:p>
    <w:p>
      <w:pPr>
        <w:spacing w:after="18"/>
        <w:ind w:left="560" w:hanging="260"/>
      </w:pPr>
      <w:r>
        <w:rPr>
          <w:b/>
          <w:bCs/>
          <w:color w:val="8186EF"/>
          <w:sz w:val="18"/>
          <w:szCs w:val="18"/>
        </w:rPr>
        <w:t xml:space="preserve">B. </w:t>
      </w:r>
      <w:r>
        <w:rPr>
          <w:sz w:val="18"/>
          <w:szCs w:val="18"/>
        </w:rPr>
        <w:t xml:space="preserve">Enter the net decrease in Levant's 2027 net income on conversion to U.</w:t>
      </w:r>
    </w:p>
    <w:p>
      <w:pPr>
        <w:spacing w:after="18"/>
        <w:ind w:left="560" w:hanging="260"/>
      </w:pPr>
      <w:r>
        <w:rPr>
          <w:b/>
          <w:bCs/>
          <w:color w:val="8186EF"/>
          <w:sz w:val="18"/>
          <w:szCs w:val="18"/>
        </w:rPr>
        <w:t xml:space="preserve">C. </w:t>
      </w:r>
      <w:r>
        <w:rPr>
          <w:sz w:val="18"/>
          <w:szCs w:val="18"/>
        </w:rPr>
        <w:t xml:space="preserve">How does each item change Levant's net income when it is converted to </w:t>
      </w:r>
    </w:p>
    <w:p>
      <w:pPr>
        <w:spacing w:after="18"/>
        <w:ind w:left="560" w:hanging="260"/>
      </w:pPr>
      <w:r>
        <w:rPr>
          <w:b/>
          <w:bCs/>
          <w:color w:val="8186EF"/>
          <w:sz w:val="18"/>
          <w:szCs w:val="18"/>
        </w:rPr>
        <w:t xml:space="preserve">D. </w:t>
      </w:r>
      <w:r>
        <w:rPr>
          <w:sz w:val="18"/>
          <w:szCs w:val="18"/>
        </w:rPr>
        <w:t xml:space="preserve">By how much is Levant's equity lower under U.S. GAAP than under IFRS?</w:t>
      </w:r>
    </w:p>
    <w:p>
      <w:pPr>
        <w:spacing w:before="40" w:after="16"/>
        <w:ind w:left="300" w:hanging="300"/>
      </w:pPr>
      <w:r>
        <w:rPr>
          <w:b/>
          <w:bCs/>
          <w:color w:val="353A7C"/>
          <w:sz w:val="19"/>
          <w:szCs w:val="19"/>
        </w:rPr>
        <w:t xml:space="preserve">22.  </w:t>
      </w:r>
      <w:r>
        <w:rPr>
          <w:sz w:val="19"/>
          <w:szCs w:val="19"/>
        </w:rPr>
        <w:t xml:space="preserve">Which of these does item C17-3 ask for?</w:t>
      </w:r>
    </w:p>
    <w:p>
      <w:pPr>
        <w:spacing w:after="18"/>
        <w:ind w:left="560" w:hanging="260"/>
      </w:pPr>
      <w:r>
        <w:rPr>
          <w:b/>
          <w:bCs/>
          <w:color w:val="8186EF"/>
          <w:sz w:val="18"/>
          <w:szCs w:val="18"/>
        </w:rPr>
        <w:t xml:space="preserve">A. </w:t>
      </w:r>
      <w:r>
        <w:rPr>
          <w:sz w:val="18"/>
          <w:szCs w:val="18"/>
        </w:rPr>
        <w:t xml:space="preserve">By how much is Levant's equity lower under U.S. GAAP than under IFRS?</w:t>
      </w:r>
    </w:p>
    <w:p>
      <w:pPr>
        <w:spacing w:after="18"/>
        <w:ind w:left="560" w:hanging="260"/>
      </w:pPr>
      <w:r>
        <w:rPr>
          <w:b/>
          <w:bCs/>
          <w:color w:val="8186EF"/>
          <w:sz w:val="18"/>
          <w:szCs w:val="18"/>
        </w:rPr>
        <w:t xml:space="preserve">B. </w:t>
      </w:r>
      <w:r>
        <w:rPr>
          <w:sz w:val="18"/>
          <w:szCs w:val="18"/>
        </w:rPr>
        <w:t xml:space="preserve">Enter Levant's 2027 net income under U.S. GAAP.</w:t>
      </w:r>
    </w:p>
    <w:p>
      <w:pPr>
        <w:spacing w:after="18"/>
        <w:ind w:left="560" w:hanging="260"/>
      </w:pPr>
      <w:r>
        <w:rPr>
          <w:b/>
          <w:bCs/>
          <w:color w:val="8186EF"/>
          <w:sz w:val="18"/>
          <w:szCs w:val="18"/>
        </w:rPr>
        <w:t xml:space="preserve">C. </w:t>
      </w:r>
      <w:r>
        <w:rPr>
          <w:sz w:val="18"/>
          <w:szCs w:val="18"/>
        </w:rPr>
        <w:t xml:space="preserve">How does each item change Levant's net income when it is converted to </w:t>
      </w:r>
    </w:p>
    <w:p>
      <w:pPr>
        <w:spacing w:after="18"/>
        <w:ind w:left="560" w:hanging="260"/>
      </w:pPr>
      <w:r>
        <w:rPr>
          <w:b/>
          <w:bCs/>
          <w:color w:val="8186EF"/>
          <w:sz w:val="18"/>
          <w:szCs w:val="18"/>
        </w:rPr>
        <w:t xml:space="preserve">D. </w:t>
      </w:r>
      <w:r>
        <w:rPr>
          <w:sz w:val="18"/>
          <w:szCs w:val="18"/>
        </w:rPr>
        <w:t xml:space="preserve">Enter the carrying amount of the delivery fleet under U.S. GAAP.</w:t>
      </w:r>
    </w:p>
    <w:p>
      <w:pPr>
        <w:spacing w:before="40" w:after="16"/>
        <w:ind w:left="300" w:hanging="300"/>
      </w:pPr>
      <w:r>
        <w:rPr>
          <w:b/>
          <w:bCs/>
          <w:color w:val="353A7C"/>
          <w:sz w:val="19"/>
          <w:szCs w:val="19"/>
        </w:rPr>
        <w:t xml:space="preserve">23.  </w:t>
      </w:r>
      <w:r>
        <w:rPr>
          <w:sz w:val="19"/>
          <w:szCs w:val="19"/>
        </w:rPr>
        <w:t xml:space="preserve">Which of these does item C17-4 ask for?</w:t>
      </w:r>
    </w:p>
    <w:p>
      <w:pPr>
        <w:spacing w:after="18"/>
        <w:ind w:left="560" w:hanging="260"/>
      </w:pPr>
      <w:r>
        <w:rPr>
          <w:b/>
          <w:bCs/>
          <w:color w:val="8186EF"/>
          <w:sz w:val="18"/>
          <w:szCs w:val="18"/>
        </w:rPr>
        <w:t xml:space="preserve">A. </w:t>
      </w:r>
      <w:r>
        <w:rPr>
          <w:sz w:val="18"/>
          <w:szCs w:val="18"/>
        </w:rPr>
        <w:t xml:space="preserve">Enter the carrying amount of the delivery fleet under U.S. GAAP.</w:t>
      </w:r>
    </w:p>
    <w:p>
      <w:pPr>
        <w:spacing w:after="18"/>
        <w:ind w:left="560" w:hanging="260"/>
      </w:pPr>
      <w:r>
        <w:rPr>
          <w:b/>
          <w:bCs/>
          <w:color w:val="8186EF"/>
          <w:sz w:val="18"/>
          <w:szCs w:val="18"/>
        </w:rPr>
        <w:t xml:space="preserve">B. </w:t>
      </w:r>
      <w:r>
        <w:rPr>
          <w:sz w:val="18"/>
          <w:szCs w:val="18"/>
        </w:rPr>
        <w:t xml:space="preserve">By how much is Levant's equity lower under U.S. GAAP than under IFRS?</w:t>
      </w:r>
    </w:p>
    <w:p>
      <w:pPr>
        <w:spacing w:after="18"/>
        <w:ind w:left="560" w:hanging="260"/>
      </w:pPr>
      <w:r>
        <w:rPr>
          <w:b/>
          <w:bCs/>
          <w:color w:val="8186EF"/>
          <w:sz w:val="18"/>
          <w:szCs w:val="18"/>
        </w:rPr>
        <w:t xml:space="preserve">C. </w:t>
      </w:r>
      <w:r>
        <w:rPr>
          <w:sz w:val="18"/>
          <w:szCs w:val="18"/>
        </w:rPr>
        <w:t xml:space="preserve">How does each item change Levant's net income when it is converted to </w:t>
      </w:r>
    </w:p>
    <w:p>
      <w:pPr>
        <w:spacing w:after="18"/>
        <w:ind w:left="560" w:hanging="260"/>
      </w:pPr>
      <w:r>
        <w:rPr>
          <w:b/>
          <w:bCs/>
          <w:color w:val="8186EF"/>
          <w:sz w:val="18"/>
          <w:szCs w:val="18"/>
        </w:rPr>
        <w:t xml:space="preserve">D. </w:t>
      </w:r>
      <w:r>
        <w:rPr>
          <w:sz w:val="18"/>
          <w:szCs w:val="18"/>
        </w:rPr>
        <w:t xml:space="preserve">Enter the net decrease in Levant's 2027 net income on conversion to U.</w:t>
      </w:r>
    </w:p>
    <w:p>
      <w:pPr>
        <w:spacing w:before="40" w:after="16"/>
        <w:ind w:left="300" w:hanging="300"/>
      </w:pPr>
      <w:r>
        <w:rPr>
          <w:b/>
          <w:bCs/>
          <w:color w:val="353A7C"/>
          <w:sz w:val="19"/>
          <w:szCs w:val="19"/>
        </w:rPr>
        <w:t xml:space="preserve">24.  </w:t>
      </w:r>
      <w:r>
        <w:rPr>
          <w:sz w:val="19"/>
          <w:szCs w:val="19"/>
        </w:rPr>
        <w:t xml:space="preserve">Which of these does item C17-5 ask for?</w:t>
      </w:r>
    </w:p>
    <w:p>
      <w:pPr>
        <w:spacing w:after="18"/>
        <w:ind w:left="560" w:hanging="260"/>
      </w:pPr>
      <w:r>
        <w:rPr>
          <w:b/>
          <w:bCs/>
          <w:color w:val="8186EF"/>
          <w:sz w:val="18"/>
          <w:szCs w:val="18"/>
        </w:rPr>
        <w:t xml:space="preserve">A. </w:t>
      </w:r>
      <w:r>
        <w:rPr>
          <w:sz w:val="18"/>
          <w:szCs w:val="18"/>
        </w:rPr>
        <w:t xml:space="preserve">By how much is Levant's equity lower under U.S. GAAP than under IFRS?</w:t>
      </w:r>
    </w:p>
    <w:p>
      <w:pPr>
        <w:spacing w:after="18"/>
        <w:ind w:left="560" w:hanging="260"/>
      </w:pPr>
      <w:r>
        <w:rPr>
          <w:b/>
          <w:bCs/>
          <w:color w:val="8186EF"/>
          <w:sz w:val="18"/>
          <w:szCs w:val="18"/>
        </w:rPr>
        <w:t xml:space="preserve">B. </w:t>
      </w:r>
      <w:r>
        <w:rPr>
          <w:sz w:val="18"/>
          <w:szCs w:val="18"/>
        </w:rPr>
        <w:t xml:space="preserve">Under U.S. GAAP, Levant's 2027 inventory write-down reversal is: [sele</w:t>
      </w:r>
    </w:p>
    <w:p>
      <w:pPr>
        <w:spacing w:after="18"/>
        <w:ind w:left="560" w:hanging="260"/>
      </w:pPr>
      <w:r>
        <w:rPr>
          <w:b/>
          <w:bCs/>
          <w:color w:val="8186EF"/>
          <w:sz w:val="18"/>
          <w:szCs w:val="18"/>
        </w:rPr>
        <w:t xml:space="preserve">C. </w:t>
      </w:r>
      <w:r>
        <w:rPr>
          <w:sz w:val="18"/>
          <w:szCs w:val="18"/>
        </w:rPr>
        <w:t xml:space="preserve">How does each item change Levant's net income when it is converted to </w:t>
      </w:r>
    </w:p>
    <w:p>
      <w:pPr>
        <w:spacing w:after="18"/>
        <w:ind w:left="560" w:hanging="260"/>
      </w:pPr>
      <w:r>
        <w:rPr>
          <w:b/>
          <w:bCs/>
          <w:color w:val="8186EF"/>
          <w:sz w:val="18"/>
          <w:szCs w:val="18"/>
        </w:rPr>
        <w:t xml:space="preserve">D. </w:t>
      </w:r>
      <w:r>
        <w:rPr>
          <w:sz w:val="18"/>
          <w:szCs w:val="18"/>
        </w:rPr>
        <w:t xml:space="preserve">Enter the net decrease in Levant's 2027 net income on conversion to U.</w:t>
      </w:r>
    </w:p>
    <w:p>
      <w:pPr>
        <w:spacing w:before="40" w:after="16"/>
        <w:ind w:left="300" w:hanging="300"/>
      </w:pPr>
      <w:r>
        <w:rPr>
          <w:b/>
          <w:bCs/>
          <w:color w:val="353A7C"/>
          <w:sz w:val="19"/>
          <w:szCs w:val="19"/>
        </w:rPr>
        <w:t xml:space="preserve">25.  </w:t>
      </w:r>
      <w:r>
        <w:rPr>
          <w:sz w:val="19"/>
          <w:szCs w:val="19"/>
        </w:rPr>
        <w:t xml:space="preserve">Which of these does item C17-6 ask for?</w:t>
      </w:r>
    </w:p>
    <w:p>
      <w:pPr>
        <w:spacing w:after="18"/>
        <w:ind w:left="560" w:hanging="260"/>
      </w:pPr>
      <w:r>
        <w:rPr>
          <w:b/>
          <w:bCs/>
          <w:color w:val="8186EF"/>
          <w:sz w:val="18"/>
          <w:szCs w:val="18"/>
        </w:rPr>
        <w:t xml:space="preserve">A. </w:t>
      </w:r>
      <w:r>
        <w:rPr>
          <w:sz w:val="18"/>
          <w:szCs w:val="18"/>
        </w:rPr>
        <w:t xml:space="preserve">Enter the net decrease in Levant's 2027 net income on conversion to U.</w:t>
      </w:r>
    </w:p>
    <w:p>
      <w:pPr>
        <w:spacing w:after="18"/>
        <w:ind w:left="560" w:hanging="260"/>
      </w:pPr>
      <w:r>
        <w:rPr>
          <w:b/>
          <w:bCs/>
          <w:color w:val="8186EF"/>
          <w:sz w:val="18"/>
          <w:szCs w:val="18"/>
        </w:rPr>
        <w:t xml:space="preserve">B. </w:t>
      </w:r>
      <w:r>
        <w:rPr>
          <w:sz w:val="18"/>
          <w:szCs w:val="18"/>
        </w:rPr>
        <w:t xml:space="preserve">By how much is Levant's equity lower under U.S. GAAP than under IFRS?</w:t>
      </w:r>
    </w:p>
    <w:p>
      <w:pPr>
        <w:spacing w:after="18"/>
        <w:ind w:left="560" w:hanging="260"/>
      </w:pPr>
      <w:r>
        <w:rPr>
          <w:b/>
          <w:bCs/>
          <w:color w:val="8186EF"/>
          <w:sz w:val="18"/>
          <w:szCs w:val="18"/>
        </w:rPr>
        <w:t xml:space="preserve">C. </w:t>
      </w:r>
      <w:r>
        <w:rPr>
          <w:sz w:val="18"/>
          <w:szCs w:val="18"/>
        </w:rPr>
        <w:t xml:space="preserve">How does each item change Levant's net income when it is converted to </w:t>
      </w:r>
    </w:p>
    <w:p>
      <w:pPr>
        <w:spacing w:after="18"/>
        <w:ind w:left="560" w:hanging="260"/>
      </w:pPr>
      <w:r>
        <w:rPr>
          <w:b/>
          <w:bCs/>
          <w:color w:val="8186EF"/>
          <w:sz w:val="18"/>
          <w:szCs w:val="18"/>
        </w:rPr>
        <w:t xml:space="preserve">D. </w:t>
      </w:r>
      <w:r>
        <w:rPr>
          <w:sz w:val="18"/>
          <w:szCs w:val="18"/>
        </w:rPr>
        <w:t xml:space="preserve">Under U.S. GAAP, Levant's 2027 inventory write-down reversal is: [sele</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1"/>
        <w:gridCol w:w="4198"/>
        <w:gridCol w:w="221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Topic — the extract for the question that follows</w:t>
            </w:r>
          </w:p>
        </w:tc>
      </w:tr>
      <w:tr>
        <w:tc>
          <w:tcPr>
            <w:tcW w:type="pct" w:w="1662"/>
            <w:tcMar>
              <w:top w:type="dxa" w:w="50"/>
              <w:left w:type="dxa" w:w="110"/>
              <w:bottom w:type="dxa" w:w="50"/>
              <w:right w:type="dxa" w:w="110"/>
            </w:tcMar>
          </w:tcPr>
          <w:p>
            <w:pPr>
              <w:spacing w:before="26" w:after="26"/>
            </w:pPr>
            <w:r>
              <w:rPr>
                <w:b/>
                <w:bCs/>
                <w:color w:val="353A7C"/>
                <w:sz w:val="15"/>
                <w:szCs w:val="15"/>
              </w:rPr>
              <w:t xml:space="preserve">Topic</w:t>
            </w:r>
          </w:p>
        </w:tc>
        <w:tc>
          <w:tcPr>
            <w:tcW w:type="pct" w:w="2186"/>
            <w:tcMar>
              <w:top w:type="dxa" w:w="50"/>
              <w:left w:type="dxa" w:w="110"/>
              <w:bottom w:type="dxa" w:w="50"/>
              <w:right w:type="dxa" w:w="110"/>
            </w:tcMar>
          </w:tcPr>
          <w:p>
            <w:pPr>
              <w:spacing w:before="26" w:after="26"/>
            </w:pPr>
            <w:r>
              <w:rPr>
                <w:b/>
                <w:bCs/>
                <w:color w:val="353A7C"/>
                <w:sz w:val="15"/>
                <w:szCs w:val="15"/>
              </w:rPr>
              <w:t xml:space="preserve">U.S. GAAP (ASC 718, 715)</w:t>
            </w:r>
          </w:p>
        </w:tc>
        <w:tc>
          <w:tcPr>
            <w:tcW w:type="pct" w:w="1152"/>
            <w:tcMar>
              <w:top w:type="dxa" w:w="50"/>
              <w:left w:type="dxa" w:w="110"/>
              <w:bottom w:type="dxa" w:w="50"/>
              <w:right w:type="dxa" w:w="110"/>
            </w:tcMar>
          </w:tcPr>
          <w:p>
            <w:pPr>
              <w:spacing w:before="26" w:after="26"/>
            </w:pPr>
            <w:r>
              <w:rPr>
                <w:b/>
                <w:bCs/>
                <w:color w:val="353A7C"/>
                <w:sz w:val="15"/>
                <w:szCs w:val="15"/>
              </w:rPr>
              <w:t xml:space="preserve">IFRS (IFRS 2, IAS 19)</w:t>
            </w:r>
          </w:p>
        </w:tc>
      </w:tr>
      <w:tr>
        <w:tc>
          <w:tcPr>
            <w:tcW w:type="pct" w:w="1662"/>
            <w:tcMar>
              <w:top w:type="dxa" w:w="50"/>
              <w:left w:type="dxa" w:w="110"/>
              <w:bottom w:type="dxa" w:w="50"/>
              <w:right w:type="dxa" w:w="110"/>
            </w:tcMar>
          </w:tcPr>
          <w:p>
            <w:pPr>
              <w:spacing w:before="26" w:after="26"/>
            </w:pPr>
            <w:r>
              <w:rPr>
                <w:color w:val="232733"/>
                <w:sz w:val="16"/>
                <w:szCs w:val="16"/>
              </w:rPr>
              <w:t xml:space="preserve">Graded vesting (service condition)</w:t>
            </w:r>
          </w:p>
        </w:tc>
        <w:tc>
          <w:tcPr>
            <w:tcW w:type="pct" w:w="2186"/>
            <w:tcMar>
              <w:top w:type="dxa" w:w="50"/>
              <w:left w:type="dxa" w:w="110"/>
              <w:bottom w:type="dxa" w:w="50"/>
              <w:right w:type="dxa" w:w="110"/>
            </w:tcMar>
          </w:tcPr>
          <w:p>
            <w:pPr>
              <w:spacing w:before="26" w:after="26"/>
            </w:pPr>
            <w:r>
              <w:rPr>
                <w:color w:val="232733"/>
                <w:sz w:val="16"/>
                <w:szCs w:val="16"/>
              </w:rPr>
              <w:t xml:space="preserve">Choice: straight-line over the whole period or tranche by tranche</w:t>
            </w:r>
          </w:p>
        </w:tc>
        <w:tc>
          <w:tcPr>
            <w:tcW w:type="pct" w:w="1152"/>
            <w:tcMar>
              <w:top w:type="dxa" w:w="50"/>
              <w:left w:type="dxa" w:w="110"/>
              <w:bottom w:type="dxa" w:w="50"/>
              <w:right w:type="dxa" w:w="110"/>
            </w:tcMar>
          </w:tcPr>
          <w:p>
            <w:pPr>
              <w:spacing w:before="26" w:after="26"/>
            </w:pPr>
            <w:r>
              <w:rPr>
                <w:color w:val="232733"/>
                <w:sz w:val="16"/>
                <w:szCs w:val="16"/>
              </w:rPr>
              <w:t xml:space="preserve">Tranche by tranche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Forfeitures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Policy choice: estimate or record as they occur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Estimate</w:t>
            </w:r>
          </w:p>
        </w:tc>
      </w:tr>
      <w:tr>
        <w:tc>
          <w:tcPr>
            <w:tcW w:type="pct" w:w="1662"/>
            <w:tcMar>
              <w:top w:type="dxa" w:w="50"/>
              <w:left w:type="dxa" w:w="110"/>
              <w:bottom w:type="dxa" w:w="50"/>
              <w:right w:type="dxa" w:w="110"/>
            </w:tcMar>
          </w:tcPr>
          <w:p>
            <w:pPr>
              <w:spacing w:before="26" w:after="26"/>
            </w:pPr>
            <w:r>
              <w:rPr>
                <w:color w:val="232733"/>
                <w:sz w:val="16"/>
                <w:szCs w:val="16"/>
              </w:rPr>
              <w:t xml:space="preserve">Employer payroll taxes on awards</w:t>
            </w:r>
          </w:p>
        </w:tc>
        <w:tc>
          <w:tcPr>
            <w:tcW w:type="pct" w:w="2186"/>
            <w:tcMar>
              <w:top w:type="dxa" w:w="50"/>
              <w:left w:type="dxa" w:w="110"/>
              <w:bottom w:type="dxa" w:w="50"/>
              <w:right w:type="dxa" w:w="110"/>
            </w:tcMar>
          </w:tcPr>
          <w:p>
            <w:pPr>
              <w:spacing w:before="26" w:after="26"/>
            </w:pPr>
            <w:r>
              <w:rPr>
                <w:color w:val="232733"/>
                <w:sz w:val="16"/>
                <w:szCs w:val="16"/>
              </w:rPr>
              <w:t xml:space="preserve">When the tax obligation arises (exercise or vesting)</w:t>
            </w:r>
          </w:p>
        </w:tc>
        <w:tc>
          <w:tcPr>
            <w:tcW w:type="pct" w:w="1152"/>
            <w:tcMar>
              <w:top w:type="dxa" w:w="50"/>
              <w:left w:type="dxa" w:w="110"/>
              <w:bottom w:type="dxa" w:w="50"/>
              <w:right w:type="dxa" w:w="110"/>
            </w:tcMar>
          </w:tcPr>
          <w:p>
            <w:pPr>
              <w:spacing w:before="26" w:after="26"/>
            </w:pPr>
            <w:r>
              <w:rPr>
                <w:color w:val="232733"/>
                <w:sz w:val="16"/>
                <w:szCs w:val="16"/>
              </w:rPr>
              <w:t xml:space="preserve">Accrued over the vesting period</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Pension remeasurements (actuarial gains and losses)</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then amortized into net income (corridor)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OCI, never reclassified to profit</w:t>
            </w:r>
          </w:p>
        </w:tc>
      </w:tr>
      <w:tr>
        <w:tc>
          <w:tcPr>
            <w:tcW w:type="pct" w:w="1662"/>
            <w:tcMar>
              <w:top w:type="dxa" w:w="50"/>
              <w:left w:type="dxa" w:w="110"/>
              <w:bottom w:type="dxa" w:w="50"/>
              <w:right w:type="dxa" w:w="110"/>
            </w:tcMar>
          </w:tcPr>
          <w:p>
            <w:pPr>
              <w:spacing w:before="26" w:after="26"/>
            </w:pPr>
            <w:r>
              <w:rPr>
                <w:color w:val="232733"/>
                <w:sz w:val="16"/>
                <w:szCs w:val="16"/>
              </w:rPr>
              <w:t xml:space="preserve">Return on plan assets</w:t>
            </w:r>
          </w:p>
        </w:tc>
        <w:tc>
          <w:tcPr>
            <w:tcW w:type="pct" w:w="2186"/>
            <w:tcMar>
              <w:top w:type="dxa" w:w="50"/>
              <w:left w:type="dxa" w:w="110"/>
              <w:bottom w:type="dxa" w:w="50"/>
              <w:right w:type="dxa" w:w="110"/>
            </w:tcMar>
          </w:tcPr>
          <w:p>
            <w:pPr>
              <w:spacing w:before="26" w:after="26"/>
            </w:pPr>
            <w:r>
              <w:rPr>
                <w:color w:val="232733"/>
                <w:sz w:val="16"/>
                <w:szCs w:val="16"/>
              </w:rPr>
              <w:t xml:space="preserve">Expected return</w:t>
            </w:r>
          </w:p>
        </w:tc>
        <w:tc>
          <w:tcPr>
            <w:tcW w:type="pct" w:w="1152"/>
            <w:tcMar>
              <w:top w:type="dxa" w:w="50"/>
              <w:left w:type="dxa" w:w="110"/>
              <w:bottom w:type="dxa" w:w="50"/>
              <w:right w:type="dxa" w:w="110"/>
            </w:tcMar>
          </w:tcPr>
          <w:p>
            <w:pPr>
              <w:spacing w:before="26" w:after="26"/>
            </w:pPr>
            <w:r>
              <w:rPr>
                <w:color w:val="232733"/>
                <w:sz w:val="16"/>
                <w:szCs w:val="16"/>
              </w:rPr>
              <w:t xml:space="preserve">Net interest at the discount rate</w:t>
            </w:r>
          </w:p>
        </w:tc>
      </w:tr>
      <w:tr>
        <w:tc>
          <w:tcPr>
            <w:tcW w:type="pct" w:w="1662"/>
            <w:shd w:fill="FBFAF6" w:val="clear"/>
            <w:tcMar>
              <w:top w:type="dxa" w:w="50"/>
              <w:left w:type="dxa" w:w="110"/>
              <w:bottom w:type="dxa" w:w="50"/>
              <w:right w:type="dxa" w:w="110"/>
            </w:tcMar>
          </w:tcPr>
          <w:p>
            <w:pPr>
              <w:spacing w:before="26" w:after="26"/>
            </w:pPr>
            <w:r>
              <w:rPr>
                <w:color w:val="232733"/>
                <w:sz w:val="16"/>
                <w:szCs w:val="16"/>
              </w:rPr>
              <w:t xml:space="preserve">Prior service cost: Orontes amendment of 50,000</w:t>
            </w:r>
          </w:p>
        </w:tc>
        <w:tc>
          <w:tcPr>
            <w:tcW w:type="pct" w:w="2186"/>
            <w:shd w:fill="FBFAF6" w:val="clear"/>
            <w:tcMar>
              <w:top w:type="dxa" w:w="50"/>
              <w:left w:type="dxa" w:w="110"/>
              <w:bottom w:type="dxa" w:w="50"/>
              <w:right w:type="dxa" w:w="110"/>
            </w:tcMar>
          </w:tcPr>
          <w:p>
            <w:pPr>
              <w:spacing w:before="26" w:after="26"/>
            </w:pPr>
            <w:r>
              <w:rPr>
                <w:color w:val="232733"/>
                <w:sz w:val="16"/>
                <w:szCs w:val="16"/>
              </w:rPr>
              <w:t xml:space="preserve">OCI, amortized over 10 years: 5,000 a year</w:t>
            </w:r>
          </w:p>
        </w:tc>
        <w:tc>
          <w:tcPr>
            <w:tcW w:type="pct" w:w="1152"/>
            <w:shd w:fill="FBFAF6" w:val="clear"/>
            <w:tcMar>
              <w:top w:type="dxa" w:w="50"/>
              <w:left w:type="dxa" w:w="110"/>
              <w:bottom w:type="dxa" w:w="50"/>
              <w:right w:type="dxa" w:w="110"/>
            </w:tcMar>
          </w:tcPr>
          <w:p>
            <w:pPr>
              <w:spacing w:before="26" w:after="26"/>
            </w:pPr>
            <w:r>
              <w:rPr>
                <w:color w:val="232733"/>
                <w:sz w:val="16"/>
                <w:szCs w:val="16"/>
              </w:rPr>
              <w:t xml:space="preserve">Expensed at once: 50,000</w:t>
            </w:r>
          </w:p>
        </w:tc>
      </w:tr>
    </w:tbl>
    <w:p/>
    <w:p>
      <w:pPr>
        <w:spacing w:before="40" w:after="16"/>
        <w:ind w:left="300" w:hanging="300"/>
      </w:pPr>
      <w:r>
        <w:rPr>
          <w:b/>
          <w:bCs/>
          <w:color w:val="353A7C"/>
          <w:sz w:val="19"/>
          <w:szCs w:val="19"/>
        </w:rPr>
        <w:t xml:space="preserve">26.  </w:t>
      </w:r>
      <w:r>
        <w:rPr>
          <w:sz w:val="19"/>
          <w:szCs w:val="19"/>
        </w:rPr>
        <w:t xml:space="preserve">The extract for this question is printed with it. How much of Orontes's prior service cost is recognized in 2027 net income under IAS 19 and under U.S. GAAP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IFRS 5,000; U.S. 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Both 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IFRS 50,000; U.S. 5,000</w:t>
            </w:r>
          </w:p>
        </w:tc>
      </w:tr>
    </w:tbl>
    <w:p>
      <w:pPr>
        <w:spacing w:before="40" w:after="16"/>
        <w:ind w:left="300" w:hanging="300"/>
      </w:pPr>
      <w:r>
        <w:rPr>
          <w:b/>
          <w:bCs/>
          <w:color w:val="353A7C"/>
          <w:sz w:val="19"/>
          <w:szCs w:val="19"/>
        </w:rPr>
        <w:t xml:space="preserve">27.  </w:t>
      </w:r>
      <w:r>
        <w:rPr>
          <w:sz w:val="19"/>
          <w:szCs w:val="19"/>
        </w:rPr>
        <w:t xml:space="preserve">A company grants share options that vest one third each year for three years (service condition only). Which statement is correct?</w:t>
      </w:r>
    </w:p>
    <w:p>
      <w:pPr>
        <w:spacing w:after="18"/>
        <w:ind w:left="560" w:hanging="260"/>
      </w:pPr>
      <w:r>
        <w:rPr>
          <w:b/>
          <w:bCs/>
          <w:color w:val="8186EF"/>
          <w:sz w:val="18"/>
          <w:szCs w:val="18"/>
        </w:rPr>
        <w:t xml:space="preserve">A. </w:t>
      </w:r>
      <w:r>
        <w:rPr>
          <w:sz w:val="18"/>
          <w:szCs w:val="18"/>
        </w:rPr>
        <w:t xml:space="preserve">Both frameworks require straight-line recognition</w:t>
      </w:r>
    </w:p>
    <w:p>
      <w:pPr>
        <w:spacing w:after="18"/>
        <w:ind w:left="560" w:hanging="260"/>
      </w:pPr>
      <w:r>
        <w:rPr>
          <w:b/>
          <w:bCs/>
          <w:color w:val="8186EF"/>
          <w:sz w:val="18"/>
          <w:szCs w:val="18"/>
        </w:rPr>
        <w:t xml:space="preserve">B. </w:t>
      </w:r>
      <w:r>
        <w:rPr>
          <w:sz w:val="18"/>
          <w:szCs w:val="18"/>
        </w:rPr>
        <w:t xml:space="preserve">U.S. GAAP allows straight-line or tranche-by-tranche recognition; IFRS 2 requires tranche by tranche</w:t>
      </w:r>
    </w:p>
    <w:p>
      <w:pPr>
        <w:spacing w:after="18"/>
        <w:ind w:left="560" w:hanging="260"/>
      </w:pPr>
      <w:r>
        <w:rPr>
          <w:b/>
          <w:bCs/>
          <w:color w:val="8186EF"/>
          <w:sz w:val="18"/>
          <w:szCs w:val="18"/>
        </w:rPr>
        <w:t xml:space="preserve">C. </w:t>
      </w:r>
      <w:r>
        <w:rPr>
          <w:sz w:val="18"/>
          <w:szCs w:val="18"/>
        </w:rPr>
        <w:t xml:space="preserve">U.S. GAAP requires tranche by tranche; IFRS allows a choice</w:t>
      </w:r>
    </w:p>
    <w:p>
      <w:pPr>
        <w:spacing w:after="18"/>
        <w:ind w:left="560" w:hanging="260"/>
      </w:pPr>
      <w:r>
        <w:rPr>
          <w:b/>
          <w:bCs/>
          <w:color w:val="8186EF"/>
          <w:sz w:val="18"/>
          <w:szCs w:val="18"/>
        </w:rPr>
        <w:t xml:space="preserve">D. </w:t>
      </w:r>
      <w:r>
        <w:rPr>
          <w:sz w:val="18"/>
          <w:szCs w:val="18"/>
        </w:rPr>
        <w:t xml:space="preserve">Neither framework recognizes expense until vesting</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revaluation model  ·  revaluation surplus  ·  development costs  ·  value in use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17.7 · The whole chapter</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8</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7eda6acff93cdad9d1bb075a357133e0e4bc219c.png" Type="http://schemas.openxmlformats.org/officeDocument/2006/relationships/image"/><Relationship Id="rId102" Target="media/6418d759513b0f12cfdf2f5f7b39b54ff0fef705.png" Type="http://schemas.openxmlformats.org/officeDocument/2006/relationships/image"/><Relationship Id="rId103" Target="media/0918bf53efbc29463bba8062aa1ae1766173b17a.png" Type="http://schemas.openxmlformats.org/officeDocument/2006/relationships/image"/><Relationship Id="rId104" Target="media/6eb8fe013a5b946b762353d89f9de3acba48945e.png" Type="http://schemas.openxmlformats.org/officeDocument/2006/relationships/image"/><Relationship Id="rId105" Target="media/6c5b3e24a182d23ce3e6d09f3d99ac280dc460cf.png" Type="http://schemas.openxmlformats.org/officeDocument/2006/relationships/image"/><Relationship Id="rId106" Target="media/d610ae231da98f9ee85d0ef9fa28cee5340a378c.png" Type="http://schemas.openxmlformats.org/officeDocument/2006/relationships/image"/><Relationship Id="rId107" Target="media/f499c900f3cabe770c71e1b5feffdd7bff882f80.png" Type="http://schemas.openxmlformats.org/officeDocument/2006/relationships/image"/><Relationship Id="rId108" Target="media/87b60d9a87c3c06813cc964d684aff4570226d2b.png" Type="http://schemas.openxmlformats.org/officeDocument/2006/relationships/image"/><Relationship Id="rId109" Target="media/4bc7748fe918928c0650008c3ac53f5f307d460b.png" Type="http://schemas.openxmlformats.org/officeDocument/2006/relationships/image"/><Relationship Id="rId110" Target="media/4cb6b6e38c4fd4095ba1e41dae75f028fa4063df.png" Type="http://schemas.openxmlformats.org/officeDocument/2006/relationships/image"/><Relationship Id="rId111" Target="media/74323f5a8ab9c37668a01e8a78e9ba2c11ee0f64.png" Type="http://schemas.openxmlformats.org/officeDocument/2006/relationships/image"/><Relationship Id="rId112" Target="media/ff3609cfcece54d8d031200af470101ccd461a4b.png" Type="http://schemas.openxmlformats.org/officeDocument/2006/relationships/image"/><Relationship Id="rId113" Target="media/30e037f8bcc16b8ac699eb81ecbffd91598d3d0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U.S. GAAP and IFRS: The Six Tested Differences</dc:subject>
  <cp:category>Student Book</cp:category>
</cp:coreProperties>
</file>