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uses financial statements, and why?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2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3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4  </w:t>
      </w:r>
      <w:r>
        <w:rPr>
          <w:sz w:val="16"/>
          <w:szCs w:val="16"/>
        </w:rPr>
        <w:t xml:space="preserve">The book’s own table gives Lend, renew or stop a loan as the decision of Lenders (banks, bondholders) — PRIMARY.</w:t>
      </w:r>
    </w:p>
    <w:p>
      <w:pPr>
        <w:spacing w:after="18"/>
        <w:ind w:left="300" w:hanging="300"/>
      </w:pPr>
      <w:r>
        <w:rPr>
          <w:b/>
          <w:bCs/>
          <w:color w:val="8186EF"/>
          <w:sz w:val="16"/>
          <w:szCs w:val="16"/>
        </w:rPr>
        <w:t xml:space="preserve">5  </w:t>
      </w:r>
      <w:r>
        <w:rPr>
          <w:sz w:val="16"/>
          <w:szCs w:val="16"/>
        </w:rPr>
        <w:t xml:space="preserve">The book’s own table gives Sell on credit, set credit terms as the decision of Other creditors (suppliers) — PRIMARY.</w:t>
      </w:r>
    </w:p>
    <w:p>
      <w:pPr>
        <w:spacing w:after="18"/>
        <w:ind w:left="300" w:hanging="300"/>
      </w:pPr>
      <w:r>
        <w:rPr>
          <w:b/>
          <w:bCs/>
          <w:color w:val="8186EF"/>
          <w:sz w:val="16"/>
          <w:szCs w:val="16"/>
        </w:rPr>
        <w:t xml:space="preserve">6  </w:t>
      </w:r>
      <w:r>
        <w:rPr>
          <w:sz w:val="16"/>
          <w:szCs w:val="16"/>
        </w:rPr>
        <w:t xml:space="preserve">The book’s own table gives Stay, negotiate pay as the decision of Employees and unions.</w:t>
      </w:r>
    </w:p>
    <w:p>
      <w:pPr>
        <w:spacing w:after="18"/>
        <w:ind w:left="300" w:hanging="300"/>
      </w:pPr>
      <w:r>
        <w:rPr>
          <w:b/>
          <w:bCs/>
          <w:color w:val="8186EF"/>
          <w:sz w:val="16"/>
          <w:szCs w:val="16"/>
        </w:rPr>
        <w:t xml:space="preserve">7  </w:t>
      </w:r>
      <w:r>
        <w:rPr>
          <w:sz w:val="16"/>
          <w:szCs w:val="16"/>
        </w:rPr>
        <w:t xml:space="preserve">The book’s own table gives Sign long-term contracts as the decision of Customers.</w:t>
      </w:r>
    </w:p>
    <w:p>
      <w:pPr>
        <w:spacing w:after="18"/>
        <w:ind w:left="300" w:hanging="300"/>
      </w:pPr>
      <w:r>
        <w:rPr>
          <w:b/>
          <w:bCs/>
          <w:color w:val="8186EF"/>
          <w:sz w:val="16"/>
          <w:szCs w:val="16"/>
        </w:rPr>
        <w:t xml:space="preserve">8  </w:t>
      </w:r>
      <w:r>
        <w:rPr>
          <w:sz w:val="16"/>
          <w:szCs w:val="16"/>
        </w:rPr>
        <w:t xml:space="preserve">The book’s own table gives Tax, oversight, statistics as the decision of Governments and regulators.</w:t>
      </w:r>
    </w:p>
    <w:p>
      <w:pPr>
        <w:spacing w:after="18"/>
        <w:ind w:left="300" w:hanging="300"/>
      </w:pPr>
      <w:r>
        <w:rPr>
          <w:b/>
          <w:bCs/>
          <w:color w:val="8186EF"/>
          <w:sz w:val="16"/>
          <w:szCs w:val="16"/>
        </w:rPr>
        <w:t xml:space="preserve">9  </w:t>
      </w:r>
      <w:r>
        <w:rPr>
          <w:sz w:val="16"/>
          <w:szCs w:val="16"/>
        </w:rPr>
        <w:t xml:space="preserve">The book’s own table gives Plan and control operations as the decision of Managers (internal).</w:t>
      </w:r>
    </w:p>
    <w:p>
      <w:pPr>
        <w:spacing w:after="18"/>
        <w:ind w:left="300" w:hanging="300"/>
      </w:pPr>
      <w:r>
        <w:rPr>
          <w:b/>
          <w:bCs/>
          <w:color w:val="8186EF"/>
          <w:sz w:val="16"/>
          <w:szCs w:val="16"/>
        </w:rPr>
        <w:t xml:space="preserve">10  </w:t>
      </w:r>
      <w:r>
        <w:rPr>
          <w:sz w:val="16"/>
          <w:szCs w:val="16"/>
        </w:rPr>
        <w:t xml:space="preserve">The book pairs Investors (shareholders) — PRIMARY with “Buy, hold or sell shares”.</w:t>
      </w:r>
    </w:p>
    <w:p>
      <w:pPr>
        <w:spacing w:after="18"/>
        <w:ind w:left="300" w:hanging="300"/>
      </w:pPr>
      <w:r>
        <w:rPr>
          <w:b/>
          <w:bCs/>
          <w:color w:val="8186EF"/>
          <w:sz w:val="16"/>
          <w:szCs w:val="16"/>
        </w:rPr>
        <w:t xml:space="preserve">11  </w:t>
      </w:r>
      <w:r>
        <w:rPr>
          <w:sz w:val="16"/>
          <w:szCs w:val="16"/>
        </w:rPr>
        <w:t xml:space="preserve">The book’s own table gives Buy, hold or sell shares as the decision of Investors (shareholders) — PRIMARY.</w:t>
      </w:r>
    </w:p>
    <w:p>
      <w:pPr>
        <w:spacing w:after="18"/>
        <w:ind w:left="300" w:hanging="300"/>
      </w:pPr>
      <w:r>
        <w:rPr>
          <w:b/>
          <w:bCs/>
          <w:color w:val="8186EF"/>
          <w:sz w:val="16"/>
          <w:szCs w:val="16"/>
        </w:rPr>
        <w:t xml:space="preserve">12  </w:t>
      </w:r>
      <w:r>
        <w:rPr>
          <w:sz w:val="16"/>
          <w:szCs w:val="16"/>
        </w:rPr>
        <w:t xml:space="preserve">The book’s own table gives Lend, renew or stop a loan as the decision of Lenders (banks, bondholders) — PRIMARY.</w:t>
      </w:r>
    </w:p>
    <w:p>
      <w:pPr>
        <w:spacing w:after="18"/>
        <w:ind w:left="300" w:hanging="300"/>
      </w:pPr>
      <w:r>
        <w:rPr>
          <w:b/>
          <w:bCs/>
          <w:color w:val="8186EF"/>
          <w:sz w:val="16"/>
          <w:szCs w:val="16"/>
        </w:rPr>
        <w:t xml:space="preserve">13  </w:t>
      </w:r>
      <w:r>
        <w:rPr>
          <w:sz w:val="16"/>
          <w:szCs w:val="16"/>
        </w:rPr>
        <w:t xml:space="preserve">The book’s own table gives Sell on credit, set credit terms as the decision of Other creditors (suppliers) — PRIMARY.</w:t>
      </w:r>
    </w:p>
    <w:p>
      <w:pPr>
        <w:spacing w:after="18"/>
        <w:ind w:left="300" w:hanging="300"/>
      </w:pPr>
      <w:r>
        <w:rPr>
          <w:b/>
          <w:bCs/>
          <w:color w:val="8186EF"/>
          <w:sz w:val="16"/>
          <w:szCs w:val="16"/>
        </w:rPr>
        <w:t xml:space="preserve">14  </w:t>
      </w:r>
      <w:r>
        <w:rPr>
          <w:sz w:val="16"/>
          <w:szCs w:val="16"/>
        </w:rPr>
        <w:t xml:space="preserve">The book’s own table gives Stay, negotiate pay as the decision of Employees and unions.</w:t>
      </w:r>
    </w:p>
    <w:p>
      <w:pPr>
        <w:spacing w:after="18"/>
        <w:ind w:left="300" w:hanging="300"/>
      </w:pPr>
      <w:r>
        <w:rPr>
          <w:b/>
          <w:bCs/>
          <w:color w:val="8186EF"/>
          <w:sz w:val="16"/>
          <w:szCs w:val="16"/>
        </w:rPr>
        <w:t xml:space="preserve">15  </w:t>
      </w:r>
      <w:r>
        <w:rPr>
          <w:sz w:val="16"/>
          <w:szCs w:val="16"/>
        </w:rPr>
        <w:t xml:space="preserve">The book pairs Investors (shareholders) — PRIMARY with “Income statement, cash flows, balance sheet”.</w:t>
      </w:r>
    </w:p>
    <w:p>
      <w:pPr>
        <w:spacing w:after="18"/>
        <w:ind w:left="300" w:hanging="300"/>
      </w:pPr>
      <w:r>
        <w:rPr>
          <w:b/>
          <w:bCs/>
          <w:color w:val="8186EF"/>
          <w:sz w:val="16"/>
          <w:szCs w:val="16"/>
        </w:rPr>
        <w:t xml:space="preserve">16  </w:t>
      </w:r>
      <w:r>
        <w:rPr>
          <w:sz w:val="16"/>
          <w:szCs w:val="16"/>
        </w:rPr>
        <w:t xml:space="preserve">The book pairs Lenders (banks, bondholders) — PRIMARY with “Cash flows, balance sheet”, not with “Income statement, cash flows, balance sheet”.</w:t>
      </w:r>
    </w:p>
    <w:p>
      <w:pPr>
        <w:spacing w:after="18"/>
        <w:ind w:left="300" w:hanging="300"/>
      </w:pPr>
      <w:r>
        <w:rPr>
          <w:b/>
          <w:bCs/>
          <w:color w:val="8186EF"/>
          <w:sz w:val="16"/>
          <w:szCs w:val="16"/>
        </w:rPr>
        <w:t xml:space="preserve">17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18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19  </w:t>
      </w:r>
      <w:r>
        <w:rPr>
          <w:sz w:val="16"/>
          <w:szCs w:val="16"/>
        </w:rPr>
        <w:t xml:space="preserve">Comparability lets users identify similarities and differences between companies or periods. A is wrong: Relevance means the information can make a difference to a decision. B is wrong: Verifiability means independent observers could reach the same result.</w:t>
      </w:r>
    </w:p>
    <w:p>
      <w:pPr>
        <w:spacing w:after="18"/>
        <w:ind w:left="300" w:hanging="300"/>
      </w:pPr>
      <w:r>
        <w:rPr>
          <w:b/>
          <w:bCs/>
          <w:color w:val="8186EF"/>
          <w:sz w:val="16"/>
          <w:szCs w:val="16"/>
        </w:rPr>
        <w:t xml:space="preserve">20  </w:t>
      </w:r>
      <w:r>
        <w:rPr>
          <w:sz w:val="16"/>
          <w:szCs w:val="16"/>
        </w:rPr>
        <w:t xml:space="preserve">Cash (an asset) increases, and contributed capital (equity) increases by the same amount. B is wrong: Selling shares is financing from owners, not revenue. C is wrong: Shares are equity, not debt. A liability arises only when the company borrows.</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building blocks: elements and the accounting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Every amount in the financial statements belongs to an element. The FASB conceptual framework defines ten elements. Three of them describe the balance sheet at one date.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2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3  </w:t>
      </w:r>
      <w:r>
        <w:rPr>
          <w:sz w:val="16"/>
          <w:szCs w:val="16"/>
        </w:rPr>
        <w:t xml:space="preserve">The book’s own table gives Asset as the category of Prepaid rent.</w:t>
      </w:r>
    </w:p>
    <w:p>
      <w:pPr>
        <w:spacing w:after="18"/>
        <w:ind w:left="300" w:hanging="300"/>
      </w:pPr>
      <w:r>
        <w:rPr>
          <w:b/>
          <w:bCs/>
          <w:color w:val="8186EF"/>
          <w:sz w:val="16"/>
          <w:szCs w:val="16"/>
        </w:rPr>
        <w:t xml:space="preserve">4  </w:t>
      </w:r>
      <w:r>
        <w:rPr>
          <w:sz w:val="16"/>
          <w:szCs w:val="16"/>
        </w:rPr>
        <w:t xml:space="preserve">The book’s own table gives Asset as the category of Land.</w:t>
      </w:r>
    </w:p>
    <w:p>
      <w:pPr>
        <w:spacing w:after="18"/>
        <w:ind w:left="300" w:hanging="300"/>
      </w:pPr>
      <w:r>
        <w:rPr>
          <w:b/>
          <w:bCs/>
          <w:color w:val="8186EF"/>
          <w:sz w:val="16"/>
          <w:szCs w:val="16"/>
        </w:rPr>
        <w:t xml:space="preserve">5  </w:t>
      </w:r>
      <w:r>
        <w:rPr>
          <w:sz w:val="16"/>
          <w:szCs w:val="16"/>
        </w:rPr>
        <w:t xml:space="preserve">The book’s own table gives Liability as the category of Dividends payable.</w:t>
      </w:r>
    </w:p>
    <w:p>
      <w:pPr>
        <w:spacing w:after="18"/>
        <w:ind w:left="300" w:hanging="300"/>
      </w:pPr>
      <w:r>
        <w:rPr>
          <w:b/>
          <w:bCs/>
          <w:color w:val="8186EF"/>
          <w:sz w:val="16"/>
          <w:szCs w:val="16"/>
        </w:rPr>
        <w:t xml:space="preserve">6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7  </w:t>
      </w:r>
      <w:r>
        <w:rPr>
          <w:sz w:val="16"/>
          <w:szCs w:val="16"/>
        </w:rPr>
        <w:t xml:space="preserve">The book’s own table gives Revenue as the category of Sales revenue.</w:t>
      </w:r>
    </w:p>
    <w:p>
      <w:pPr>
        <w:spacing w:after="18"/>
        <w:ind w:left="300" w:hanging="300"/>
      </w:pPr>
      <w:r>
        <w:rPr>
          <w:b/>
          <w:bCs/>
          <w:color w:val="8186EF"/>
          <w:sz w:val="16"/>
          <w:szCs w:val="16"/>
        </w:rPr>
        <w:t xml:space="preserve">8  </w:t>
      </w:r>
      <w:r>
        <w:rPr>
          <w:sz w:val="16"/>
          <w:szCs w:val="16"/>
        </w:rPr>
        <w:t xml:space="preserve">The book’s own table gives Expense as the category of Interest expense.</w:t>
      </w:r>
    </w:p>
    <w:p>
      <w:pPr>
        <w:spacing w:after="18"/>
        <w:ind w:left="300" w:hanging="300"/>
      </w:pPr>
      <w:r>
        <w:rPr>
          <w:b/>
          <w:bCs/>
          <w:color w:val="8186EF"/>
          <w:sz w:val="16"/>
          <w:szCs w:val="16"/>
        </w:rPr>
        <w:t xml:space="preserve">9  </w:t>
      </w:r>
      <w:r>
        <w:rPr>
          <w:sz w:val="16"/>
          <w:szCs w:val="16"/>
        </w:rPr>
        <w:t xml:space="preserve">The book’s own table gives Contra-asset as the category of Allowance for credit losses.</w:t>
      </w:r>
    </w:p>
    <w:p>
      <w:pPr>
        <w:spacing w:after="18"/>
        <w:ind w:left="300" w:hanging="300"/>
      </w:pPr>
      <w:r>
        <w:rPr>
          <w:b/>
          <w:bCs/>
          <w:color w:val="8186EF"/>
          <w:sz w:val="16"/>
          <w:szCs w:val="16"/>
        </w:rPr>
        <w:t xml:space="preserve">10  </w:t>
      </w:r>
      <w:r>
        <w:rPr>
          <w:sz w:val="16"/>
          <w:szCs w:val="16"/>
        </w:rPr>
        <w:t xml:space="preserve">The book pairs Prepaid rent with “Asset”.</w:t>
      </w:r>
    </w:p>
    <w:p>
      <w:pPr>
        <w:spacing w:after="18"/>
        <w:ind w:left="300" w:hanging="300"/>
      </w:pPr>
      <w:r>
        <w:rPr>
          <w:b/>
          <w:bCs/>
          <w:color w:val="8186EF"/>
          <w:sz w:val="16"/>
          <w:szCs w:val="16"/>
        </w:rPr>
        <w:t xml:space="preserve">11  </w:t>
      </w:r>
      <w:r>
        <w:rPr>
          <w:sz w:val="16"/>
          <w:szCs w:val="16"/>
        </w:rPr>
        <w:t xml:space="preserve">The book’s own table gives Asset as the category of Prepaid rent.</w:t>
      </w:r>
    </w:p>
    <w:p>
      <w:pPr>
        <w:spacing w:after="18"/>
        <w:ind w:left="300" w:hanging="300"/>
      </w:pPr>
      <w:r>
        <w:rPr>
          <w:b/>
          <w:bCs/>
          <w:color w:val="8186EF"/>
          <w:sz w:val="16"/>
          <w:szCs w:val="16"/>
        </w:rPr>
        <w:t xml:space="preserve">12  </w:t>
      </w:r>
      <w:r>
        <w:rPr>
          <w:sz w:val="16"/>
          <w:szCs w:val="16"/>
        </w:rPr>
        <w:t xml:space="preserve">The book’s own table gives Asset as the category of Land.</w:t>
      </w:r>
    </w:p>
    <w:p>
      <w:pPr>
        <w:spacing w:after="18"/>
        <w:ind w:left="300" w:hanging="300"/>
      </w:pPr>
      <w:r>
        <w:rPr>
          <w:b/>
          <w:bCs/>
          <w:color w:val="8186EF"/>
          <w:sz w:val="16"/>
          <w:szCs w:val="16"/>
        </w:rPr>
        <w:t xml:space="preserve">13  </w:t>
      </w:r>
      <w:r>
        <w:rPr>
          <w:sz w:val="16"/>
          <w:szCs w:val="16"/>
        </w:rPr>
        <w:t xml:space="preserve">The book’s own table gives Liability as the category of Dividends payable.</w:t>
      </w:r>
    </w:p>
    <w:p>
      <w:pPr>
        <w:spacing w:after="18"/>
        <w:ind w:left="300" w:hanging="300"/>
      </w:pPr>
      <w:r>
        <w:rPr>
          <w:b/>
          <w:bCs/>
          <w:color w:val="8186EF"/>
          <w:sz w:val="16"/>
          <w:szCs w:val="16"/>
        </w:rPr>
        <w:t xml:space="preserve">14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15  </w:t>
      </w:r>
      <w:r>
        <w:rPr>
          <w:sz w:val="16"/>
          <w:szCs w:val="16"/>
        </w:rPr>
        <w:t xml:space="preserve">The book pairs Prepaid rent with “Asset”.</w:t>
      </w:r>
    </w:p>
    <w:p>
      <w:pPr>
        <w:spacing w:after="18"/>
        <w:ind w:left="300" w:hanging="300"/>
      </w:pPr>
      <w:r>
        <w:rPr>
          <w:b/>
          <w:bCs/>
          <w:color w:val="8186EF"/>
          <w:sz w:val="16"/>
          <w:szCs w:val="16"/>
        </w:rPr>
        <w:t xml:space="preserve">16  </w:t>
      </w:r>
      <w:r>
        <w:rPr>
          <w:sz w:val="16"/>
          <w:szCs w:val="16"/>
        </w:rPr>
        <w:t xml:space="preserve">The book pairs Land with “Asset”, not with “Contra-asset”.</w:t>
      </w:r>
    </w:p>
    <w:p>
      <w:pPr>
        <w:spacing w:after="18"/>
        <w:ind w:left="300" w:hanging="300"/>
      </w:pPr>
      <w:r>
        <w:rPr>
          <w:b/>
          <w:bCs/>
          <w:color w:val="8186EF"/>
          <w:sz w:val="16"/>
          <w:szCs w:val="16"/>
        </w:rPr>
        <w:t xml:space="preserve">17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18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19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20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Double entry: debits and credits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at a date: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for a period: Income statement, Statement of changes in equity,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Accountants record every transaction with the double-entry system. Each transaction affects at least two accounts, and total debits always equal total credits. This is why the accounting equation always balances.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2  </w:t>
      </w:r>
      <w:r>
        <w:rPr>
          <w:sz w:val="16"/>
          <w:szCs w:val="16"/>
        </w:rPr>
        <w:t xml:space="preserve">The book’s own table gives How did the company perform? as the question it answers of Income statement.</w:t>
      </w:r>
    </w:p>
    <w:p>
      <w:pPr>
        <w:spacing w:after="18"/>
        <w:ind w:left="300" w:hanging="300"/>
      </w:pPr>
      <w:r>
        <w:rPr>
          <w:b/>
          <w:bCs/>
          <w:color w:val="8186EF"/>
          <w:sz w:val="16"/>
          <w:szCs w:val="16"/>
        </w:rPr>
        <w:t xml:space="preserve">3  </w:t>
      </w:r>
      <w:r>
        <w:rPr>
          <w:sz w:val="16"/>
          <w:szCs w:val="16"/>
        </w:rPr>
        <w:t xml:space="preserve">The book’s own table gives Why did each equity account change? as the question it answers of Statement of changes in equity.</w:t>
      </w:r>
    </w:p>
    <w:p>
      <w:pPr>
        <w:spacing w:after="18"/>
        <w:ind w:left="300" w:hanging="300"/>
      </w:pPr>
      <w:r>
        <w:rPr>
          <w:b/>
          <w:bCs/>
          <w:color w:val="8186EF"/>
          <w:sz w:val="16"/>
          <w:szCs w:val="16"/>
        </w:rPr>
        <w:t xml:space="preserve">4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5  </w:t>
      </w:r>
      <w:r>
        <w:rPr>
          <w:sz w:val="16"/>
          <w:szCs w:val="16"/>
        </w:rPr>
        <w:t xml:space="preserve">The book’s own table pairs Balance sheet with “at a date”.</w:t>
      </w:r>
    </w:p>
    <w:p>
      <w:pPr>
        <w:spacing w:after="18"/>
        <w:ind w:left="300" w:hanging="300"/>
      </w:pPr>
      <w:r>
        <w:rPr>
          <w:b/>
          <w:bCs/>
          <w:color w:val="8186EF"/>
          <w:sz w:val="16"/>
          <w:szCs w:val="16"/>
        </w:rPr>
        <w:t xml:space="preserve">6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7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Pr>
        <w:spacing w:after="18"/>
        <w:ind w:left="300" w:hanging="300"/>
      </w:pPr>
      <w:r>
        <w:rPr>
          <w:b/>
          <w:bCs/>
          <w:color w:val="8186EF"/>
          <w:sz w:val="16"/>
          <w:szCs w:val="16"/>
        </w:rPr>
        <w:t xml:space="preserve">8  </w:t>
      </w:r>
      <w:r>
        <w:rPr>
          <w:sz w:val="16"/>
          <w:szCs w:val="16"/>
        </w:rPr>
        <w:t xml:space="preserve">The book numbers “Who uses financial statements, and why?” as section 1.1.</w:t>
      </w:r>
    </w:p>
    <w:p>
      <w:pPr>
        <w:spacing w:after="18"/>
        <w:ind w:left="300" w:hanging="300"/>
      </w:pPr>
      <w:r>
        <w:rPr>
          <w:b/>
          <w:bCs/>
          <w:color w:val="8186EF"/>
          <w:sz w:val="16"/>
          <w:szCs w:val="16"/>
        </w:rPr>
        <w:t xml:space="preserve">9  </w:t>
      </w:r>
      <w:r>
        <w:rPr>
          <w:sz w:val="16"/>
          <w:szCs w:val="16"/>
        </w:rPr>
        <w:t xml:space="preserve">The book pairs Balance sheet with “What does the company have and owe, and what is the owners' claim?”.</w:t>
      </w:r>
    </w:p>
    <w:p>
      <w:pPr>
        <w:spacing w:after="18"/>
        <w:ind w:left="300" w:hanging="300"/>
      </w:pPr>
      <w:r>
        <w:rPr>
          <w:b/>
          <w:bCs/>
          <w:color w:val="8186EF"/>
          <w:sz w:val="16"/>
          <w:szCs w:val="16"/>
        </w:rPr>
        <w:t xml:space="preserve">10  </w:t>
      </w:r>
      <w:r>
        <w:rPr>
          <w:sz w:val="16"/>
          <w:szCs w:val="16"/>
        </w:rPr>
        <w:t xml:space="preserve">The book’s own table gives What does the company have and owe, and what is the owners' claim? as the question it answers of Balance sheet.</w:t>
      </w:r>
    </w:p>
    <w:p>
      <w:pPr>
        <w:spacing w:after="18"/>
        <w:ind w:left="300" w:hanging="300"/>
      </w:pPr>
      <w:r>
        <w:rPr>
          <w:b/>
          <w:bCs/>
          <w:color w:val="8186EF"/>
          <w:sz w:val="16"/>
          <w:szCs w:val="16"/>
        </w:rPr>
        <w:t xml:space="preserve">11  </w:t>
      </w:r>
      <w:r>
        <w:rPr>
          <w:sz w:val="16"/>
          <w:szCs w:val="16"/>
        </w:rPr>
        <w:t xml:space="preserve">The book’s own table gives How did the company perform? as the question it answers of Income statement.</w:t>
      </w:r>
    </w:p>
    <w:p>
      <w:pPr>
        <w:spacing w:after="18"/>
        <w:ind w:left="300" w:hanging="300"/>
      </w:pPr>
      <w:r>
        <w:rPr>
          <w:b/>
          <w:bCs/>
          <w:color w:val="8186EF"/>
          <w:sz w:val="16"/>
          <w:szCs w:val="16"/>
        </w:rPr>
        <w:t xml:space="preserve">12  </w:t>
      </w:r>
      <w:r>
        <w:rPr>
          <w:sz w:val="16"/>
          <w:szCs w:val="16"/>
        </w:rPr>
        <w:t xml:space="preserve">The book’s own table gives Why did each equity account change? as the question it answers of Statement of changes in equity.</w:t>
      </w:r>
    </w:p>
    <w:p>
      <w:pPr>
        <w:spacing w:after="18"/>
        <w:ind w:left="300" w:hanging="300"/>
      </w:pPr>
      <w:r>
        <w:rPr>
          <w:b/>
          <w:bCs/>
          <w:color w:val="8186EF"/>
          <w:sz w:val="16"/>
          <w:szCs w:val="16"/>
        </w:rPr>
        <w:t xml:space="preserve">13  </w:t>
      </w:r>
      <w:r>
        <w:rPr>
          <w:sz w:val="16"/>
          <w:szCs w:val="16"/>
        </w:rPr>
        <w:t xml:space="preserve">The book’s own table gives Where did cash come from, and where did it go? as the question it answers of Statement of cash flows.</w:t>
      </w:r>
    </w:p>
    <w:p>
      <w:pPr>
        <w:spacing w:after="18"/>
        <w:ind w:left="300" w:hanging="300"/>
      </w:pPr>
      <w:r>
        <w:rPr>
          <w:b/>
          <w:bCs/>
          <w:color w:val="8186EF"/>
          <w:sz w:val="16"/>
          <w:szCs w:val="16"/>
        </w:rPr>
        <w:t xml:space="preserve">16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17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18  </w:t>
      </w:r>
      <w:r>
        <w:rPr>
          <w:sz w:val="16"/>
          <w:szCs w:val="16"/>
        </w:rPr>
        <w:t xml:space="preserve">The SEC has the legal authority; the FASB sets the standards; the ASC holds U.S. GAAP. A is wrong: The PCAOB sets auditing standards. B is wrong: The IASB writes IFRS only.</w:t>
      </w:r>
    </w:p>
    <w:p>
      <w:pPr>
        <w:spacing w:after="18"/>
        <w:ind w:left="300" w:hanging="300"/>
      </w:pPr>
      <w:r>
        <w:rPr>
          <w:b/>
          <w:bCs/>
          <w:color w:val="8186EF"/>
          <w:sz w:val="16"/>
          <w:szCs w:val="16"/>
        </w:rPr>
        <w:t xml:space="preserve">19  </w:t>
      </w:r>
      <w:r>
        <w:rPr>
          <w:sz w:val="16"/>
          <w:szCs w:val="16"/>
        </w:rPr>
        <w:t xml:space="preserve">Share premium and additional paid-in capital both mean the amount received above par value. A is wrong: Retained earnings come from profits, not from issuing shares. B is wrong: Common stock holds only the par value.</w:t>
      </w:r>
    </w:p>
    <w:p>
      <w:pPr>
        <w:spacing w:after="18"/>
        <w:ind w:left="300" w:hanging="300"/>
      </w:pPr>
      <w:r>
        <w:rPr>
          <w:b/>
          <w:bCs/>
          <w:color w:val="8186EF"/>
          <w:sz w:val="16"/>
          <w:szCs w:val="16"/>
        </w:rPr>
        <w:t xml:space="preserve">20  </w:t>
      </w:r>
      <w:r>
        <w:rPr>
          <w:sz w:val="16"/>
          <w:szCs w:val="16"/>
        </w:rPr>
        <w:t xml:space="preserve">Accumulated depreciation is a contra-asset account, so it has the opposite (credit) balance to assets. A is wrong: Prepaid rent is an asset, so its normal balance is a debit. C is wrong: Cost of goods sold is an expense, so its normal balance is a debit.</w:t>
      </w:r>
    </w:p>
    <w:p>
      <w:pPr>
        <w:spacing w:after="18"/>
        <w:ind w:left="300" w:hanging="300"/>
      </w:pPr>
      <w:r>
        <w:rPr>
          <w:b/>
          <w:bCs/>
          <w:color w:val="8186EF"/>
          <w:sz w:val="16"/>
          <w:szCs w:val="16"/>
        </w:rPr>
        <w:t xml:space="preserve">21  </w:t>
      </w:r>
      <w:r>
        <w:rPr>
          <w:sz w:val="16"/>
          <w:szCs w:val="16"/>
        </w:rPr>
        <w:t xml:space="preserve">CMA questions use exact terms, and one word can change the answer.</w:t>
      </w:r>
    </w:p>
    <w:p>
      <w:pPr>
        <w:spacing w:after="18"/>
        <w:ind w:left="300" w:hanging="300"/>
      </w:pPr>
      <w:r>
        <w:rPr>
          <w:b/>
          <w:bCs/>
          <w:color w:val="8186EF"/>
          <w:sz w:val="16"/>
          <w:szCs w:val="16"/>
        </w:rPr>
        <w:t xml:space="preserve">28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The accrual basis and the matching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 liability: Contract liability, or unearned revenue (deferral), Accrued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an asset: Prepaid expense (deferral), Accrued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Cash is paid before the expense is incurred. as the what happens of Prepaid expense (deferral).</w:t>
      </w:r>
    </w:p>
    <w:p>
      <w:pPr>
        <w:spacing w:after="18"/>
        <w:ind w:left="300" w:hanging="300"/>
      </w:pPr>
      <w:r>
        <w:rPr>
          <w:b/>
          <w:bCs/>
          <w:color w:val="8186EF"/>
          <w:sz w:val="16"/>
          <w:szCs w:val="16"/>
        </w:rPr>
        <w:t xml:space="preserve">2  </w:t>
      </w:r>
      <w:r>
        <w:rPr>
          <w:sz w:val="16"/>
          <w:szCs w:val="16"/>
        </w:rPr>
        <w:t xml:space="preserve">The book’s own table gives Cash is received before the revenue is earned. as the what happens of Contract liability, or unearned revenue (deferral).</w:t>
      </w:r>
    </w:p>
    <w:p>
      <w:pPr>
        <w:spacing w:after="18"/>
        <w:ind w:left="300" w:hanging="300"/>
      </w:pPr>
      <w:r>
        <w:rPr>
          <w:b/>
          <w:bCs/>
          <w:color w:val="8186EF"/>
          <w:sz w:val="16"/>
          <w:szCs w:val="16"/>
        </w:rPr>
        <w:t xml:space="preserve">3  </w:t>
      </w:r>
      <w:r>
        <w:rPr>
          <w:sz w:val="16"/>
          <w:szCs w:val="16"/>
        </w:rPr>
        <w:t xml:space="preserve">The book’s own table gives The expense is incurred before cash is paid. as the what happens of Accrued expense.</w:t>
      </w:r>
    </w:p>
    <w:p>
      <w:pPr>
        <w:spacing w:after="18"/>
        <w:ind w:left="300" w:hanging="300"/>
      </w:pPr>
      <w:r>
        <w:rPr>
          <w:b/>
          <w:bCs/>
          <w:color w:val="8186EF"/>
          <w:sz w:val="16"/>
          <w:szCs w:val="16"/>
        </w:rPr>
        <w:t xml:space="preserve">4  </w:t>
      </w:r>
      <w:r>
        <w:rPr>
          <w:sz w:val="16"/>
          <w:szCs w:val="16"/>
        </w:rPr>
        <w:t xml:space="preserve">The book’s own table gives Revenue is earned before cash is received or billed. as the what happens of Accrued revenue.</w:t>
      </w:r>
    </w:p>
    <w:p>
      <w:pPr>
        <w:spacing w:after="18"/>
        <w:ind w:left="300" w:hanging="300"/>
      </w:pPr>
      <w:r>
        <w:rPr>
          <w:b/>
          <w:bCs/>
          <w:color w:val="8186EF"/>
          <w:sz w:val="16"/>
          <w:szCs w:val="16"/>
        </w:rPr>
        <w:t xml:space="preserve">5  </w:t>
      </w:r>
      <w:r>
        <w:rPr>
          <w:sz w:val="16"/>
          <w:szCs w:val="16"/>
        </w:rPr>
        <w:t xml:space="preserve">The book’s own table gives Rent paid in advance (February, row 3) as the orontes example of Prepaid expense (deferral).</w:t>
      </w:r>
    </w:p>
    <w:p>
      <w:pPr>
        <w:spacing w:after="18"/>
        <w:ind w:left="300" w:hanging="300"/>
      </w:pPr>
      <w:r>
        <w:rPr>
          <w:b/>
          <w:bCs/>
          <w:color w:val="8186EF"/>
          <w:sz w:val="16"/>
          <w:szCs w:val="16"/>
        </w:rPr>
        <w:t xml:space="preserve">6  </w:t>
      </w:r>
      <w:r>
        <w:rPr>
          <w:sz w:val="16"/>
          <w:szCs w:val="16"/>
        </w:rPr>
        <w:t xml:space="preserve">The book’s own table gives Hotel pays in advance (February, row 4) as the orontes example of Contract liability, or unearned revenue (deferral).</w:t>
      </w:r>
    </w:p>
    <w:p>
      <w:pPr>
        <w:spacing w:after="18"/>
        <w:ind w:left="300" w:hanging="300"/>
      </w:pPr>
      <w:r>
        <w:rPr>
          <w:b/>
          <w:bCs/>
          <w:color w:val="8186EF"/>
          <w:sz w:val="16"/>
          <w:szCs w:val="16"/>
        </w:rPr>
        <w:t xml:space="preserve">7  </w:t>
      </w:r>
      <w:r>
        <w:rPr>
          <w:sz w:val="16"/>
          <w:szCs w:val="16"/>
        </w:rPr>
        <w:t xml:space="preserve">The book’s own table gives Interest owed on the bank note (February, row 6) as the orontes example of Accrued expense.</w:t>
      </w:r>
    </w:p>
    <w:p>
      <w:pPr>
        <w:spacing w:after="18"/>
        <w:ind w:left="300" w:hanging="300"/>
      </w:pPr>
      <w:r>
        <w:rPr>
          <w:b/>
          <w:bCs/>
          <w:color w:val="8186EF"/>
          <w:sz w:val="16"/>
          <w:szCs w:val="16"/>
        </w:rPr>
        <w:t xml:space="preserve">8  </w:t>
      </w:r>
      <w:r>
        <w:rPr>
          <w:sz w:val="16"/>
          <w:szCs w:val="16"/>
        </w:rPr>
        <w:t xml:space="preserve">The book pairs Prepaid expense (deferral) with “Cash is paid before the expense is incurred.”.</w:t>
      </w:r>
    </w:p>
    <w:p>
      <w:pPr>
        <w:spacing w:after="18"/>
        <w:ind w:left="300" w:hanging="300"/>
      </w:pPr>
      <w:r>
        <w:rPr>
          <w:b/>
          <w:bCs/>
          <w:color w:val="8186EF"/>
          <w:sz w:val="16"/>
          <w:szCs w:val="16"/>
        </w:rPr>
        <w:t xml:space="preserve">9  </w:t>
      </w:r>
      <w:r>
        <w:rPr>
          <w:sz w:val="16"/>
          <w:szCs w:val="16"/>
        </w:rPr>
        <w:t xml:space="preserve">The book’s own table gives Cash is paid before the expense is incurred. as the what happens of Prepaid expense (deferral).</w:t>
      </w:r>
    </w:p>
    <w:p>
      <w:pPr>
        <w:spacing w:after="18"/>
        <w:ind w:left="300" w:hanging="300"/>
      </w:pPr>
      <w:r>
        <w:rPr>
          <w:b/>
          <w:bCs/>
          <w:color w:val="8186EF"/>
          <w:sz w:val="16"/>
          <w:szCs w:val="16"/>
        </w:rPr>
        <w:t xml:space="preserve">10  </w:t>
      </w:r>
      <w:r>
        <w:rPr>
          <w:sz w:val="16"/>
          <w:szCs w:val="16"/>
        </w:rPr>
        <w:t xml:space="preserve">The book’s own table gives Cash is received before the revenue is earned. as the what happens of Contract liability, or unearned revenue (deferral).</w:t>
      </w:r>
    </w:p>
    <w:p>
      <w:pPr>
        <w:spacing w:after="18"/>
        <w:ind w:left="300" w:hanging="300"/>
      </w:pPr>
      <w:r>
        <w:rPr>
          <w:b/>
          <w:bCs/>
          <w:color w:val="8186EF"/>
          <w:sz w:val="16"/>
          <w:szCs w:val="16"/>
        </w:rPr>
        <w:t xml:space="preserve">11  </w:t>
      </w:r>
      <w:r>
        <w:rPr>
          <w:sz w:val="16"/>
          <w:szCs w:val="16"/>
        </w:rPr>
        <w:t xml:space="preserve">The book’s own table gives The expense is incurred before cash is paid. as the what happens of Accrued expense.</w:t>
      </w:r>
    </w:p>
    <w:p>
      <w:pPr>
        <w:spacing w:after="18"/>
        <w:ind w:left="300" w:hanging="300"/>
      </w:pPr>
      <w:r>
        <w:rPr>
          <w:b/>
          <w:bCs/>
          <w:color w:val="8186EF"/>
          <w:sz w:val="16"/>
          <w:szCs w:val="16"/>
        </w:rPr>
        <w:t xml:space="preserve">12  </w:t>
      </w:r>
      <w:r>
        <w:rPr>
          <w:sz w:val="16"/>
          <w:szCs w:val="16"/>
        </w:rPr>
        <w:t xml:space="preserve">The book’s own table gives Revenue is earned before cash is received or billed. as the what happens of Accrued revenue.</w:t>
      </w:r>
    </w:p>
    <w:p>
      <w:pPr>
        <w:spacing w:after="18"/>
        <w:ind w:left="300" w:hanging="300"/>
      </w:pPr>
      <w:r>
        <w:rPr>
          <w:b/>
          <w:bCs/>
          <w:color w:val="8186EF"/>
          <w:sz w:val="16"/>
          <w:szCs w:val="16"/>
        </w:rPr>
        <w:t xml:space="preserve">13  </w:t>
      </w:r>
      <w:r>
        <w:rPr>
          <w:sz w:val="16"/>
          <w:szCs w:val="16"/>
        </w:rPr>
        <w:t xml:space="preserve">The book pairs Prepaid expense (deferral) with “an asset”.</w:t>
      </w:r>
    </w:p>
    <w:p>
      <w:pPr>
        <w:spacing w:after="18"/>
        <w:ind w:left="300" w:hanging="300"/>
      </w:pPr>
      <w:r>
        <w:rPr>
          <w:b/>
          <w:bCs/>
          <w:color w:val="8186EF"/>
          <w:sz w:val="16"/>
          <w:szCs w:val="16"/>
        </w:rPr>
        <w:t xml:space="preserve">14  </w:t>
      </w:r>
      <w:r>
        <w:rPr>
          <w:sz w:val="16"/>
          <w:szCs w:val="16"/>
        </w:rPr>
        <w:t xml:space="preserve">The book pairs Contract liability, or unearned revenue (deferral) with “a liability”, not with “an asset”.</w:t>
      </w:r>
    </w:p>
    <w:p>
      <w:pPr>
        <w:spacing w:after="18"/>
        <w:ind w:left="300" w:hanging="300"/>
      </w:pPr>
      <w:r>
        <w:rPr>
          <w:b/>
          <w:bCs/>
          <w:color w:val="8186EF"/>
          <w:sz w:val="16"/>
          <w:szCs w:val="16"/>
        </w:rPr>
        <w:t xml:space="preserve">17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18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Cost of goods sold links directly to each sale, so it is recorded with the sales revenue. A is wrong: Depreciation uses systematic and rational allocation over the years of use. B is wrong: Advertising has no clear link to specific revenue, so it is recognized immediately.</w:t>
      </w:r>
    </w:p>
    <w:p>
      <w:pPr>
        <w:spacing w:after="18"/>
        <w:ind w:left="300" w:hanging="300"/>
      </w:pPr>
      <w:r>
        <w:rPr>
          <w:b/>
          <w:bCs/>
          <w:color w:val="8186EF"/>
          <w:sz w:val="16"/>
          <w:szCs w:val="16"/>
        </w:rPr>
        <w:t xml:space="preserve">27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Who writes the rules? U.S. GAAP and IFRS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statement of financial position as the ● IFRS of balance sheet.</w:t>
      </w:r>
    </w:p>
    <w:p>
      <w:pPr>
        <w:spacing w:after="18"/>
        <w:ind w:left="300" w:hanging="300"/>
      </w:pPr>
      <w:r>
        <w:rPr>
          <w:b/>
          <w:bCs/>
          <w:color w:val="8186EF"/>
          <w:sz w:val="16"/>
          <w:szCs w:val="16"/>
        </w:rPr>
        <w:t xml:space="preserve">2  </w:t>
      </w:r>
      <w:r>
        <w:rPr>
          <w:sz w:val="16"/>
          <w:szCs w:val="16"/>
        </w:rPr>
        <w:t xml:space="preserve">The book’s own table gives statement of profit or loss as the ● IFRS of income statement.</w:t>
      </w:r>
    </w:p>
    <w:p>
      <w:pPr>
        <w:spacing w:after="18"/>
        <w:ind w:left="300" w:hanging="300"/>
      </w:pPr>
      <w:r>
        <w:rPr>
          <w:b/>
          <w:bCs/>
          <w:color w:val="8186EF"/>
          <w:sz w:val="16"/>
          <w:szCs w:val="16"/>
        </w:rPr>
        <w:t xml:space="preserve">3  </w:t>
      </w:r>
      <w:r>
        <w:rPr>
          <w:sz w:val="16"/>
          <w:szCs w:val="16"/>
        </w:rPr>
        <w:t xml:space="preserve">The book’s own table gives share capital (ordinary shares) as the ● IFRS of common stock.</w:t>
      </w:r>
    </w:p>
    <w:p>
      <w:pPr>
        <w:spacing w:after="18"/>
        <w:ind w:left="300" w:hanging="300"/>
      </w:pPr>
      <w:r>
        <w:rPr>
          <w:b/>
          <w:bCs/>
          <w:color w:val="8186EF"/>
          <w:sz w:val="16"/>
          <w:szCs w:val="16"/>
        </w:rPr>
        <w:t xml:space="preserve">4  </w:t>
      </w:r>
      <w:r>
        <w:rPr>
          <w:sz w:val="16"/>
          <w:szCs w:val="16"/>
        </w:rPr>
        <w:t xml:space="preserve">The book’s own table gives share premium as the ● IFRS of additional paid-in capital.</w:t>
      </w:r>
    </w:p>
    <w:p>
      <w:pPr>
        <w:spacing w:after="18"/>
        <w:ind w:left="300" w:hanging="300"/>
      </w:pPr>
      <w:r>
        <w:rPr>
          <w:b/>
          <w:bCs/>
          <w:color w:val="8186EF"/>
          <w:sz w:val="16"/>
          <w:szCs w:val="16"/>
        </w:rPr>
        <w:t xml:space="preserve">5  </w:t>
      </w:r>
      <w:r>
        <w:rPr>
          <w:sz w:val="16"/>
          <w:szCs w:val="16"/>
        </w:rPr>
        <w:t xml:space="preserve">The book’s own table gives trade receivables as the ● IFRS of accounts receivable.</w:t>
      </w:r>
    </w:p>
    <w:p>
      <w:pPr>
        <w:spacing w:after="18"/>
        <w:ind w:left="300" w:hanging="300"/>
      </w:pPr>
      <w:r>
        <w:rPr>
          <w:b/>
          <w:bCs/>
          <w:color w:val="8186EF"/>
          <w:sz w:val="16"/>
          <w:szCs w:val="16"/>
        </w:rPr>
        <w:t xml:space="preserve">6  </w:t>
      </w:r>
      <w:r>
        <w:rPr>
          <w:sz w:val="16"/>
          <w:szCs w:val="16"/>
        </w:rPr>
        <w:t xml:space="preserve">The book’s own table gives profit as the ● IFRS of net income.</w:t>
      </w:r>
    </w:p>
    <w:p>
      <w:pPr>
        <w:spacing w:after="18"/>
        <w:ind w:left="300" w:hanging="300"/>
      </w:pPr>
      <w:r>
        <w:rPr>
          <w:b/>
          <w:bCs/>
          <w:color w:val="8186EF"/>
          <w:sz w:val="16"/>
          <w:szCs w:val="16"/>
        </w:rPr>
        <w:t xml:space="preserve">7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8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book’s own table gives statement of financial position as the ● IFRS of balance sheet.</w:t>
      </w:r>
    </w:p>
    <w:p>
      <w:pPr>
        <w:spacing w:after="18"/>
        <w:ind w:left="300" w:hanging="300"/>
      </w:pPr>
      <w:r>
        <w:rPr>
          <w:b/>
          <w:bCs/>
          <w:color w:val="8186EF"/>
          <w:sz w:val="16"/>
          <w:szCs w:val="16"/>
        </w:rPr>
        <w:t xml:space="preserve">11  </w:t>
      </w:r>
      <w:r>
        <w:rPr>
          <w:sz w:val="16"/>
          <w:szCs w:val="16"/>
        </w:rPr>
        <w:t xml:space="preserve">The book’s own table gives statement of profit or loss as the ● IFRS of income statement.</w:t>
      </w:r>
    </w:p>
    <w:p>
      <w:pPr>
        <w:spacing w:after="18"/>
        <w:ind w:left="300" w:hanging="300"/>
      </w:pPr>
      <w:r>
        <w:rPr>
          <w:b/>
          <w:bCs/>
          <w:color w:val="8186EF"/>
          <w:sz w:val="16"/>
          <w:szCs w:val="16"/>
        </w:rPr>
        <w:t xml:space="preserve">12  </w:t>
      </w:r>
      <w:r>
        <w:rPr>
          <w:sz w:val="16"/>
          <w:szCs w:val="16"/>
        </w:rPr>
        <w:t xml:space="preserve">The book’s own table gives share capital (ordinary shares) as the ● IFRS of common stock.</w:t>
      </w:r>
    </w:p>
    <w:p>
      <w:pPr>
        <w:spacing w:after="18"/>
        <w:ind w:left="300" w:hanging="300"/>
      </w:pPr>
      <w:r>
        <w:rPr>
          <w:b/>
          <w:bCs/>
          <w:color w:val="8186EF"/>
          <w:sz w:val="16"/>
          <w:szCs w:val="16"/>
        </w:rPr>
        <w:t xml:space="preserve">13  </w:t>
      </w:r>
      <w:r>
        <w:rPr>
          <w:sz w:val="16"/>
          <w:szCs w:val="16"/>
        </w:rPr>
        <w:t xml:space="preserve">The book’s own table gives share premium as the ● IFRS of additional paid-in capital.</w:t>
      </w:r>
    </w:p>
    <w:p>
      <w:pPr>
        <w:spacing w:after="18"/>
        <w:ind w:left="300" w:hanging="300"/>
      </w:pPr>
      <w:r>
        <w:rPr>
          <w:b/>
          <w:bCs/>
          <w:color w:val="8186EF"/>
          <w:sz w:val="16"/>
          <w:szCs w:val="16"/>
        </w:rPr>
        <w:t xml:space="preserve">14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15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A first look at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Each statement answers a different question for users. Chapters 2 to 5 study each statement in detail. Here is the overview.</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1,050 as the debit of Cash.</w:t>
      </w:r>
    </w:p>
    <w:p>
      <w:pPr>
        <w:spacing w:after="18"/>
        <w:ind w:left="300" w:hanging="300"/>
      </w:pPr>
      <w:r>
        <w:rPr>
          <w:b/>
          <w:bCs/>
          <w:color w:val="8186EF"/>
          <w:sz w:val="16"/>
          <w:szCs w:val="16"/>
        </w:rPr>
        <w:t xml:space="preserve">2  </w:t>
      </w:r>
      <w:r>
        <w:rPr>
          <w:sz w:val="16"/>
          <w:szCs w:val="16"/>
        </w:rPr>
        <w:t xml:space="preserve">The book’s own table gives 300 as the debit of Accounts receivable.</w:t>
      </w:r>
    </w:p>
    <w:p>
      <w:pPr>
        <w:spacing w:after="18"/>
        <w:ind w:left="300" w:hanging="300"/>
      </w:pPr>
      <w:r>
        <w:rPr>
          <w:b/>
          <w:bCs/>
          <w:color w:val="8186EF"/>
          <w:sz w:val="16"/>
          <w:szCs w:val="16"/>
        </w:rPr>
        <w:t xml:space="preserve">3  </w:t>
      </w:r>
      <w:r>
        <w:rPr>
          <w:sz w:val="16"/>
          <w:szCs w:val="16"/>
        </w:rPr>
        <w:t xml:space="preserve">The book’s own table gives 420 as the debit of Inventory.</w:t>
      </w:r>
    </w:p>
    <w:p>
      <w:pPr>
        <w:spacing w:after="18"/>
        <w:ind w:left="300" w:hanging="300"/>
      </w:pPr>
      <w:r>
        <w:rPr>
          <w:b/>
          <w:bCs/>
          <w:color w:val="8186EF"/>
          <w:sz w:val="16"/>
          <w:szCs w:val="16"/>
        </w:rPr>
        <w:t xml:space="preserve">4  </w:t>
      </w:r>
      <w:r>
        <w:rPr>
          <w:sz w:val="16"/>
          <w:szCs w:val="16"/>
        </w:rPr>
        <w:t xml:space="preserve">The book’s own table gives 936 as the debit of Land.</w:t>
      </w:r>
    </w:p>
    <w:p>
      <w:pPr>
        <w:spacing w:after="18"/>
        <w:ind w:left="300" w:hanging="300"/>
      </w:pPr>
      <w:r>
        <w:rPr>
          <w:b/>
          <w:bCs/>
          <w:color w:val="8186EF"/>
          <w:sz w:val="16"/>
          <w:szCs w:val="16"/>
        </w:rPr>
        <w:t xml:space="preserve">5  </w:t>
      </w:r>
      <w:r>
        <w:rPr>
          <w:sz w:val="16"/>
          <w:szCs w:val="16"/>
        </w:rPr>
        <w:t xml:space="preserve">The book’s own table gives 4,200 as the debit of Equipment.</w:t>
      </w:r>
    </w:p>
    <w:p>
      <w:pPr>
        <w:spacing w:after="18"/>
        <w:ind w:left="300" w:hanging="300"/>
      </w:pPr>
      <w:r>
        <w:rPr>
          <w:b/>
          <w:bCs/>
          <w:color w:val="8186EF"/>
          <w:sz w:val="16"/>
          <w:szCs w:val="16"/>
        </w:rPr>
        <w:t xml:space="preserve">6  </w:t>
      </w:r>
      <w:r>
        <w:rPr>
          <w:sz w:val="16"/>
          <w:szCs w:val="16"/>
        </w:rPr>
        <w:t xml:space="preserve">The book’s own table gives 1,860 as the debit of Cost of goods sold.</w:t>
      </w:r>
    </w:p>
    <w:p>
      <w:pPr>
        <w:spacing w:after="18"/>
        <w:ind w:left="300" w:hanging="300"/>
      </w:pPr>
      <w:r>
        <w:rPr>
          <w:b/>
          <w:bCs/>
          <w:color w:val="8186EF"/>
          <w:sz w:val="16"/>
          <w:szCs w:val="16"/>
        </w:rPr>
        <w:t xml:space="preserve">7  </w:t>
      </w:r>
      <w:r>
        <w:rPr>
          <w:sz w:val="16"/>
          <w:szCs w:val="16"/>
        </w:rPr>
        <w:t xml:space="preserve">The book’s own table gives 520 as the debit of Wages expense.</w:t>
      </w:r>
    </w:p>
    <w:p>
      <w:pPr>
        <w:spacing w:after="18"/>
        <w:ind w:left="300" w:hanging="300"/>
      </w:pPr>
      <w:r>
        <w:rPr>
          <w:b/>
          <w:bCs/>
          <w:color w:val="8186EF"/>
          <w:sz w:val="16"/>
          <w:szCs w:val="16"/>
        </w:rPr>
        <w:t xml:space="preserve">8  </w:t>
      </w:r>
      <w:r>
        <w:rPr>
          <w:sz w:val="16"/>
          <w:szCs w:val="16"/>
        </w:rPr>
        <w:t xml:space="preserve">The book’s own table gives 300 as the debit of Depreciation expense.</w:t>
      </w:r>
    </w:p>
    <w:p>
      <w:pPr>
        <w:spacing w:after="18"/>
        <w:ind w:left="300" w:hanging="300"/>
      </w:pPr>
      <w:r>
        <w:rPr>
          <w:b/>
          <w:bCs/>
          <w:color w:val="8186EF"/>
          <w:sz w:val="16"/>
          <w:szCs w:val="16"/>
        </w:rPr>
        <w:t xml:space="preserve">9  </w:t>
      </w:r>
      <w:r>
        <w:rPr>
          <w:sz w:val="16"/>
          <w:szCs w:val="16"/>
        </w:rPr>
        <w:t xml:space="preserve">The book’s own table gives 9,750 as the debit of Totals.</w:t>
      </w:r>
    </w:p>
    <w:p>
      <w:pPr>
        <w:spacing w:after="18"/>
        <w:ind w:left="300" w:hanging="300"/>
      </w:pPr>
      <w:r>
        <w:rPr>
          <w:b/>
          <w:bCs/>
          <w:color w:val="8186EF"/>
          <w:sz w:val="16"/>
          <w:szCs w:val="16"/>
        </w:rPr>
        <w:t xml:space="preserve">10  </w:t>
      </w:r>
      <w:r>
        <w:rPr>
          <w:sz w:val="16"/>
          <w:szCs w:val="16"/>
        </w:rPr>
        <w:t xml:space="preserve">The book pairs Cash with “1,050”.</w:t>
      </w:r>
    </w:p>
    <w:p>
      <w:pPr>
        <w:spacing w:after="18"/>
        <w:ind w:left="300" w:hanging="300"/>
      </w:pPr>
      <w:r>
        <w:rPr>
          <w:b/>
          <w:bCs/>
          <w:color w:val="8186EF"/>
          <w:sz w:val="16"/>
          <w:szCs w:val="16"/>
        </w:rPr>
        <w:t xml:space="preserve">11  </w:t>
      </w:r>
      <w:r>
        <w:rPr>
          <w:sz w:val="16"/>
          <w:szCs w:val="16"/>
        </w:rPr>
        <w:t xml:space="preserve">The book’s own table gives 1,050 as the debit of Cash.</w:t>
      </w:r>
    </w:p>
    <w:p>
      <w:pPr>
        <w:spacing w:after="18"/>
        <w:ind w:left="300" w:hanging="300"/>
      </w:pPr>
      <w:r>
        <w:rPr>
          <w:b/>
          <w:bCs/>
          <w:color w:val="8186EF"/>
          <w:sz w:val="16"/>
          <w:szCs w:val="16"/>
        </w:rPr>
        <w:t xml:space="preserve">12  </w:t>
      </w:r>
      <w:r>
        <w:rPr>
          <w:sz w:val="16"/>
          <w:szCs w:val="16"/>
        </w:rPr>
        <w:t xml:space="preserve">The book’s own table gives 300 as the debit of Accounts receivable.</w:t>
      </w:r>
    </w:p>
    <w:p>
      <w:pPr>
        <w:spacing w:after="18"/>
        <w:ind w:left="300" w:hanging="300"/>
      </w:pPr>
      <w:r>
        <w:rPr>
          <w:b/>
          <w:bCs/>
          <w:color w:val="8186EF"/>
          <w:sz w:val="16"/>
          <w:szCs w:val="16"/>
        </w:rPr>
        <w:t xml:space="preserve">13  </w:t>
      </w:r>
      <w:r>
        <w:rPr>
          <w:sz w:val="16"/>
          <w:szCs w:val="16"/>
        </w:rPr>
        <w:t xml:space="preserve">The book’s own table gives 420 as the debit of Inventory.</w:t>
      </w:r>
    </w:p>
    <w:p>
      <w:pPr>
        <w:spacing w:after="18"/>
        <w:ind w:left="300" w:hanging="300"/>
      </w:pPr>
      <w:r>
        <w:rPr>
          <w:b/>
          <w:bCs/>
          <w:color w:val="8186EF"/>
          <w:sz w:val="16"/>
          <w:szCs w:val="16"/>
        </w:rPr>
        <w:t xml:space="preserve">14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15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The exam marks the term, so the English word is the answer.</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1.1: Who uses financial statements, and why?. 1.2: The building blocks: elements and the accounting equation. 1.3: Double entry: debits and credits. 1.4: The accrual basis and the matching principle. 1.5: Who writes the rules? U.S. GAAP and IFRS. 1.6: A first look at the four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“Who uses financial statements, and why?” as section 1.1.</w:t>
      </w:r>
    </w:p>
    <w:p>
      <w:pPr>
        <w:spacing w:after="18"/>
        <w:ind w:left="300" w:hanging="300"/>
      </w:pPr>
      <w:r>
        <w:rPr>
          <w:b/>
          <w:bCs/>
          <w:color w:val="8186EF"/>
          <w:sz w:val="16"/>
          <w:szCs w:val="16"/>
        </w:rPr>
        <w:t xml:space="preserve">2  </w:t>
      </w:r>
      <w:r>
        <w:rPr>
          <w:sz w:val="16"/>
          <w:szCs w:val="16"/>
        </w:rPr>
        <w:t xml:space="preserve">The book numbers “The building blocks: elements and the accounting equation” as section 1.2.</w:t>
      </w:r>
    </w:p>
    <w:p>
      <w:pPr>
        <w:spacing w:after="18"/>
        <w:ind w:left="300" w:hanging="300"/>
      </w:pPr>
      <w:r>
        <w:rPr>
          <w:b/>
          <w:bCs/>
          <w:color w:val="8186EF"/>
          <w:sz w:val="16"/>
          <w:szCs w:val="16"/>
        </w:rPr>
        <w:t xml:space="preserve">3  </w:t>
      </w:r>
      <w:r>
        <w:rPr>
          <w:sz w:val="16"/>
          <w:szCs w:val="16"/>
        </w:rPr>
        <w:t xml:space="preserve">The book numbers “Double entry: debits and credits” as section 1.3.</w:t>
      </w:r>
    </w:p>
    <w:p>
      <w:pPr>
        <w:spacing w:after="18"/>
        <w:ind w:left="300" w:hanging="300"/>
      </w:pPr>
      <w:r>
        <w:rPr>
          <w:b/>
          <w:bCs/>
          <w:color w:val="8186EF"/>
          <w:sz w:val="16"/>
          <w:szCs w:val="16"/>
        </w:rPr>
        <w:t xml:space="preserve">4  </w:t>
      </w:r>
      <w:r>
        <w:rPr>
          <w:sz w:val="16"/>
          <w:szCs w:val="16"/>
        </w:rPr>
        <w:t xml:space="preserve">The book numbers “The accrual basis and the matching principle” as section 1.4.</w:t>
      </w:r>
    </w:p>
    <w:p>
      <w:pPr>
        <w:spacing w:after="18"/>
        <w:ind w:left="300" w:hanging="300"/>
      </w:pPr>
      <w:r>
        <w:rPr>
          <w:b/>
          <w:bCs/>
          <w:color w:val="8186EF"/>
          <w:sz w:val="16"/>
          <w:szCs w:val="16"/>
        </w:rPr>
        <w:t xml:space="preserve">5  </w:t>
      </w:r>
      <w:r>
        <w:rPr>
          <w:sz w:val="16"/>
          <w:szCs w:val="16"/>
        </w:rPr>
        <w:t xml:space="preserve">The book numbers “Who writes the rules? U.S. GAAP and IFRS” as section 1.5.</w:t>
      </w:r>
    </w:p>
    <w:p>
      <w:pPr>
        <w:spacing w:after="18"/>
        <w:ind w:left="300" w:hanging="300"/>
      </w:pPr>
      <w:r>
        <w:rPr>
          <w:b/>
          <w:bCs/>
          <w:color w:val="8186EF"/>
          <w:sz w:val="16"/>
          <w:szCs w:val="16"/>
        </w:rPr>
        <w:t xml:space="preserve">6  </w:t>
      </w:r>
      <w:r>
        <w:rPr>
          <w:sz w:val="16"/>
          <w:szCs w:val="16"/>
        </w:rPr>
        <w:t xml:space="preserve">The book numbers “A first look at the four statements” as section 1.6.</w:t>
      </w:r>
    </w:p>
    <w:p>
      <w:pPr>
        <w:spacing w:after="18"/>
        <w:ind w:left="300" w:hanging="300"/>
      </w:pPr>
      <w:r>
        <w:rPr>
          <w:b/>
          <w:bCs/>
          <w:color w:val="8186EF"/>
          <w:sz w:val="16"/>
          <w:szCs w:val="16"/>
        </w:rPr>
        <w:t xml:space="preserve">7  </w:t>
      </w:r>
      <w:r>
        <w:rPr>
          <w:sz w:val="16"/>
          <w:szCs w:val="16"/>
        </w:rPr>
        <w:t xml:space="preserve">The map shows the order the decisions have to be taken in.</w:t>
      </w:r>
    </w:p>
    <w:p>
      <w:pPr>
        <w:spacing w:after="18"/>
        <w:ind w:left="300" w:hanging="300"/>
      </w:pPr>
      <w:r>
        <w:rPr>
          <w:b/>
          <w:bCs/>
          <w:color w:val="8186EF"/>
          <w:sz w:val="16"/>
          <w:szCs w:val="16"/>
        </w:rPr>
        <w:t xml:space="preserve">8  </w:t>
      </w:r>
      <w:r>
        <w:rPr>
          <w:sz w:val="16"/>
          <w:szCs w:val="16"/>
        </w:rPr>
        <w:t xml:space="preserve">The book numbers it 1.1.</w:t>
      </w:r>
    </w:p>
    <w:p>
      <w:pPr>
        <w:spacing w:after="18"/>
        <w:ind w:left="300" w:hanging="300"/>
      </w:pPr>
      <w:r>
        <w:rPr>
          <w:b/>
          <w:bCs/>
          <w:color w:val="8186EF"/>
          <w:sz w:val="16"/>
          <w:szCs w:val="16"/>
        </w:rPr>
        <w:t xml:space="preserve">9  </w:t>
      </w:r>
      <w:r>
        <w:rPr>
          <w:sz w:val="16"/>
          <w:szCs w:val="16"/>
        </w:rPr>
        <w:t xml:space="preserve">The book numbers it 1.2.</w:t>
      </w:r>
    </w:p>
    <w:p>
      <w:pPr>
        <w:spacing w:after="18"/>
        <w:ind w:left="300" w:hanging="300"/>
      </w:pPr>
      <w:r>
        <w:rPr>
          <w:b/>
          <w:bCs/>
          <w:color w:val="8186EF"/>
          <w:sz w:val="16"/>
          <w:szCs w:val="16"/>
        </w:rPr>
        <w:t xml:space="preserve">10  </w:t>
      </w:r>
      <w:r>
        <w:rPr>
          <w:sz w:val="16"/>
          <w:szCs w:val="16"/>
        </w:rPr>
        <w:t xml:space="preserve">The book numbers it 1.3.</w:t>
      </w:r>
    </w:p>
    <w:p>
      <w:pPr>
        <w:spacing w:after="18"/>
        <w:ind w:left="300" w:hanging="300"/>
      </w:pPr>
      <w:r>
        <w:rPr>
          <w:b/>
          <w:bCs/>
          <w:color w:val="8186EF"/>
          <w:sz w:val="16"/>
          <w:szCs w:val="16"/>
        </w:rPr>
        <w:t xml:space="preserve">17  </w:t>
      </w:r>
      <w:r>
        <w:rPr>
          <w:sz w:val="16"/>
          <w:szCs w:val="16"/>
        </w:rPr>
        <w:t xml:space="preserve">The first section settles the vocabulary.</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C1-1 in those words.</w:t>
      </w:r>
    </w:p>
    <w:p>
      <w:pPr>
        <w:spacing w:after="18"/>
        <w:ind w:left="300" w:hanging="300"/>
      </w:pPr>
      <w:r>
        <w:rPr>
          <w:b/>
          <w:bCs/>
          <w:color w:val="8186EF"/>
          <w:sz w:val="16"/>
          <w:szCs w:val="16"/>
        </w:rPr>
        <w:t xml:space="preserve">20  </w:t>
      </w:r>
      <w:r>
        <w:rPr>
          <w:sz w:val="16"/>
          <w:szCs w:val="16"/>
        </w:rPr>
        <w:t xml:space="preserve">The book states item C1-2 in those words.</w:t>
      </w:r>
    </w:p>
    <w:p>
      <w:pPr>
        <w:spacing w:after="18"/>
        <w:ind w:left="300" w:hanging="300"/>
      </w:pPr>
      <w:r>
        <w:rPr>
          <w:b/>
          <w:bCs/>
          <w:color w:val="8186EF"/>
          <w:sz w:val="16"/>
          <w:szCs w:val="16"/>
        </w:rPr>
        <w:t xml:space="preserve">21  </w:t>
      </w:r>
      <w:r>
        <w:rPr>
          <w:sz w:val="16"/>
          <w:szCs w:val="16"/>
        </w:rPr>
        <w:t xml:space="preserve">The book states item C1-3 in those words.</w:t>
      </w:r>
    </w:p>
    <w:p>
      <w:pPr>
        <w:spacing w:after="18"/>
        <w:ind w:left="300" w:hanging="300"/>
      </w:pPr>
      <w:r>
        <w:rPr>
          <w:b/>
          <w:bCs/>
          <w:color w:val="8186EF"/>
          <w:sz w:val="16"/>
          <w:szCs w:val="16"/>
        </w:rPr>
        <w:t xml:space="preserve">22  </w:t>
      </w:r>
      <w:r>
        <w:rPr>
          <w:sz w:val="16"/>
          <w:szCs w:val="16"/>
        </w:rPr>
        <w:t xml:space="preserve">The book states item C1-4 in those words.</w:t>
      </w:r>
    </w:p>
    <w:p>
      <w:pPr>
        <w:spacing w:after="18"/>
        <w:ind w:left="300" w:hanging="300"/>
      </w:pPr>
      <w:r>
        <w:rPr>
          <w:b/>
          <w:bCs/>
          <w:color w:val="8186EF"/>
          <w:sz w:val="16"/>
          <w:szCs w:val="16"/>
        </w:rPr>
        <w:t xml:space="preserve">23  </w:t>
      </w:r>
      <w:r>
        <w:rPr>
          <w:sz w:val="16"/>
          <w:szCs w:val="16"/>
        </w:rPr>
        <w:t xml:space="preserve">The book states item C1-5 in those words.</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 — answer keys</dc:title>
  <dc:subject>The Language and Framework of Financial Reporting</dc:subject>
  <cp:category>Student Book</cp:category>
</cp:coreProperties>
</file>