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2.1 · Purpose and structure of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2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3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4  </w:t>
      </w:r>
      <w:r>
        <w:rPr>
          <w:sz w:val="16"/>
          <w:szCs w:val="16"/>
        </w:rPr>
        <w:t xml:space="preserve">The book’s own table gives Noncurrent asset as the category of Land.</w:t>
      </w:r>
    </w:p>
    <w:p>
      <w:pPr>
        <w:spacing w:after="18"/>
        <w:ind w:left="300" w:hanging="300"/>
      </w:pPr>
      <w:r>
        <w:rPr>
          <w:b/>
          <w:bCs/>
          <w:color w:val="8186EF"/>
          <w:sz w:val="16"/>
          <w:szCs w:val="16"/>
        </w:rPr>
        <w:t xml:space="preserve">5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6  </w:t>
      </w:r>
      <w:r>
        <w:rPr>
          <w:sz w:val="16"/>
          <w:szCs w:val="16"/>
        </w:rPr>
        <w:t xml:space="preserve">The book’s own table gives Current liability as the category of Dividends payable.</w:t>
      </w:r>
    </w:p>
    <w:p>
      <w:pPr>
        <w:spacing w:after="18"/>
        <w:ind w:left="300" w:hanging="300"/>
      </w:pPr>
      <w:r>
        <w:rPr>
          <w:b/>
          <w:bCs/>
          <w:color w:val="8186EF"/>
          <w:sz w:val="16"/>
          <w:szCs w:val="16"/>
        </w:rPr>
        <w:t xml:space="preserve">7  </w:t>
      </w:r>
      <w:r>
        <w:rPr>
          <w:sz w:val="16"/>
          <w:szCs w:val="16"/>
        </w:rPr>
        <w:t xml:space="preserve">The book’s own table gives Equity as the category of Additional paid-in capital.</w:t>
      </w:r>
    </w:p>
    <w:p>
      <w:pPr>
        <w:spacing w:after="18"/>
        <w:ind w:left="300" w:hanging="300"/>
      </w:pPr>
      <w:r>
        <w:rPr>
          <w:b/>
          <w:bCs/>
          <w:color w:val="8186EF"/>
          <w:sz w:val="16"/>
          <w:szCs w:val="16"/>
        </w:rPr>
        <w:t xml:space="preserve">8  </w:t>
      </w:r>
      <w:r>
        <w:rPr>
          <w:sz w:val="16"/>
          <w:szCs w:val="16"/>
        </w:rPr>
        <w:t xml:space="preserve">The book pairs Prepaid rent with “Current asset”.</w:t>
      </w:r>
    </w:p>
    <w:p>
      <w:pPr>
        <w:spacing w:after="18"/>
        <w:ind w:left="300" w:hanging="300"/>
      </w:pPr>
      <w:r>
        <w:rPr>
          <w:b/>
          <w:bCs/>
          <w:color w:val="8186EF"/>
          <w:sz w:val="16"/>
          <w:szCs w:val="16"/>
        </w:rPr>
        <w:t xml:space="preserve">9  </w:t>
      </w:r>
      <w:r>
        <w:rPr>
          <w:sz w:val="16"/>
          <w:szCs w:val="16"/>
        </w:rPr>
        <w:t xml:space="preserve">The book pairs Land with “Noncurrent asset”, not with “Current liability”.</w:t>
      </w:r>
    </w:p>
    <w:p>
      <w:pPr>
        <w:spacing w:after="18"/>
        <w:ind w:left="300" w:hanging="300"/>
      </w:pPr>
      <w:r>
        <w:rPr>
          <w:b/>
          <w:bCs/>
          <w:color w:val="8186EF"/>
          <w:sz w:val="16"/>
          <w:szCs w:val="16"/>
        </w:rPr>
        <w:t xml:space="preserve">10  </w:t>
      </w:r>
      <w:r>
        <w:rPr>
          <w:sz w:val="16"/>
          <w:szCs w:val="16"/>
        </w:rPr>
        <w:t xml:space="preserve">The book pairs Allowance for credit losses with “Current asset”.</w:t>
      </w:r>
    </w:p>
    <w:p>
      <w:pPr>
        <w:spacing w:after="18"/>
        <w:ind w:left="300" w:hanging="300"/>
      </w:pPr>
      <w:r>
        <w:rPr>
          <w:b/>
          <w:bCs/>
          <w:color w:val="8186EF"/>
          <w:sz w:val="16"/>
          <w:szCs w:val="16"/>
        </w:rPr>
        <w:t xml:space="preserve">11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12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13  </w:t>
      </w:r>
      <w:r>
        <w:rPr>
          <w:sz w:val="16"/>
          <w:szCs w:val="16"/>
        </w:rPr>
        <w:t xml:space="preserve">The book numbers “Current and noncurrent items” as section 2.2.</w:t>
      </w:r>
    </w:p>
    <w:p>
      <w:pPr>
        <w:spacing w:after="18"/>
        <w:ind w:left="300" w:hanging="300"/>
      </w:pPr>
      <w:r>
        <w:rPr>
          <w:b/>
          <w:bCs/>
          <w:color w:val="8186EF"/>
          <w:sz w:val="16"/>
          <w:szCs w:val="16"/>
        </w:rPr>
        <w:t xml:space="preserve">14  </w:t>
      </w:r>
      <w:r>
        <w:rPr>
          <w:sz w:val="16"/>
          <w:szCs w:val="16"/>
        </w:rPr>
        <w:t xml:space="preserve">The book numbers “Classifying debt” as section 2.3.</w:t>
      </w:r>
    </w:p>
    <w:p>
      <w:pPr>
        <w:spacing w:after="18"/>
        <w:ind w:left="300" w:hanging="300"/>
      </w:pPr>
      <w:r>
        <w:rPr>
          <w:b/>
          <w:bCs/>
          <w:color w:val="8186EF"/>
          <w:sz w:val="16"/>
          <w:szCs w:val="16"/>
        </w:rPr>
        <w:t xml:space="preserve">15  </w:t>
      </w:r>
      <w:r>
        <w:rPr>
          <w:sz w:val="16"/>
          <w:szCs w:val="16"/>
        </w:rPr>
        <w:t xml:space="preserve">The book numbers “Other presentation matters” as section 2.4.</w:t>
      </w:r>
    </w:p>
    <w:p>
      <w:pPr>
        <w:spacing w:after="18"/>
        <w:ind w:left="300" w:hanging="300"/>
      </w:pPr>
      <w:r>
        <w:rPr>
          <w:b/>
          <w:bCs/>
          <w:color w:val="8186EF"/>
          <w:sz w:val="16"/>
          <w:szCs w:val="16"/>
        </w:rPr>
        <w:t xml:space="preserve">16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17  </w:t>
      </w:r>
      <w:r>
        <w:rPr>
          <w:sz w:val="16"/>
          <w:szCs w:val="16"/>
        </w:rPr>
        <w:t xml:space="preserve">Financial flexibility is the ability to respond to unexpected needs and opportunities. A is wrong: Liquidity is about meeting short-term obligations. C is wrong: Solvency is about meeting all obligations over time.</w:t>
      </w:r>
    </w:p>
    <w:p>
      <w:pPr>
        <w:spacing w:after="18"/>
        <w:ind w:left="300" w:hanging="300"/>
      </w:pPr>
      <w:r>
        <w:rPr>
          <w:b/>
          <w:bCs/>
          <w:color w:val="8186EF"/>
          <w:sz w:val="16"/>
          <w:szCs w:val="16"/>
        </w:rPr>
        <w:t xml:space="preserve">18  </w:t>
      </w:r>
      <w:r>
        <w:rPr>
          <w:sz w:val="16"/>
          <w:szCs w:val="16"/>
        </w:rPr>
        <w:t xml:space="preserve">Classification shows the short-term position clearly. B is wrong: Classification does not change measurement. C is wrong: Equity is a book amount.</w:t>
      </w:r>
    </w:p>
    <w:p>
      <w:pPr>
        <w:spacing w:after="18"/>
        <w:ind w:left="300" w:hanging="300"/>
      </w:pPr>
      <w:r>
        <w:rPr>
          <w:b/>
          <w:bCs/>
          <w:color w:val="8186EF"/>
          <w:sz w:val="16"/>
          <w:szCs w:val="16"/>
        </w:rPr>
        <w:t xml:space="preserve">19  </w:t>
      </w:r>
      <w:r>
        <w:rPr>
          <w:sz w:val="16"/>
          <w:szCs w:val="16"/>
        </w:rPr>
        <w:t xml:space="preserve">Cash surrender value is excluded from current assets. A is wrong: Prepaid rent for six months will be used up within a year. B is wrong: Trading securities are held for sale soon.</w:t>
      </w:r>
    </w:p>
    <w:p>
      <w:pPr>
        <w:spacing w:after="18"/>
        <w:ind w:left="300" w:hanging="300"/>
      </w:pPr>
      <w:r>
        <w:rPr>
          <w:b/>
          <w:bCs/>
          <w:color w:val="8186EF"/>
          <w:sz w:val="16"/>
          <w:szCs w:val="16"/>
        </w:rPr>
        <w:t xml:space="preserve">20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2.2 · Current and noncurrent items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2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3  </w:t>
      </w:r>
      <w:r>
        <w:rPr>
          <w:sz w:val="16"/>
          <w:szCs w:val="16"/>
        </w:rPr>
        <w:t xml:space="preserve">The book’s own table gives Noncurrent asset as the classification of Cash set aside in a sinking fund to repay bonds in 2029.</w:t>
      </w:r>
    </w:p>
    <w:p>
      <w:pPr>
        <w:spacing w:after="18"/>
        <w:ind w:left="300" w:hanging="300"/>
      </w:pPr>
      <w:r>
        <w:rPr>
          <w:b/>
          <w:bCs/>
          <w:color w:val="8186EF"/>
          <w:sz w:val="16"/>
          <w:szCs w:val="16"/>
        </w:rPr>
        <w:t xml:space="preserve">4  </w:t>
      </w:r>
      <w:r>
        <w:rPr>
          <w:sz w:val="16"/>
          <w:szCs w:val="16"/>
        </w:rPr>
        <w:t xml:space="preserve">The book’s own table gives Current asset as the classification of Date vinegar that Orontes ages for 18 months before sale.</w:t>
      </w:r>
    </w:p>
    <w:p>
      <w:pPr>
        <w:spacing w:after="18"/>
        <w:ind w:left="300" w:hanging="300"/>
      </w:pPr>
      <w:r>
        <w:rPr>
          <w:b/>
          <w:bCs/>
          <w:color w:val="8186EF"/>
          <w:sz w:val="16"/>
          <w:szCs w:val="16"/>
        </w:rPr>
        <w:t xml:space="preserve">5  </w:t>
      </w:r>
      <w:r>
        <w:rPr>
          <w:sz w:val="16"/>
          <w:szCs w:val="16"/>
        </w:rPr>
        <w:t xml:space="preserve">The book’s own table gives ________ as the classification of Cash surrender value of an executive life insurance policy.</w:t>
      </w:r>
    </w:p>
    <w:p>
      <w:pPr>
        <w:spacing w:after="18"/>
        <w:ind w:left="300" w:hanging="300"/>
      </w:pPr>
      <w:r>
        <w:rPr>
          <w:b/>
          <w:bCs/>
          <w:color w:val="8186EF"/>
          <w:sz w:val="16"/>
          <w:szCs w:val="16"/>
        </w:rPr>
        <w:t xml:space="preserve">6  </w:t>
      </w:r>
      <w:r>
        <w:rPr>
          <w:sz w:val="16"/>
          <w:szCs w:val="16"/>
        </w:rPr>
        <w:t xml:space="preserve">The book’s own table gives ________ as the classification of Bank loan due on demand; the bank has never asked for repayment.</w:t>
      </w:r>
    </w:p>
    <w:p>
      <w:pPr>
        <w:spacing w:after="18"/>
        <w:ind w:left="300" w:hanging="300"/>
      </w:pPr>
      <w:r>
        <w:rPr>
          <w:b/>
          <w:bCs/>
          <w:color w:val="8186EF"/>
          <w:sz w:val="16"/>
          <w:szCs w:val="16"/>
        </w:rPr>
        <w:t xml:space="preserve">7  </w:t>
      </w:r>
      <w:r>
        <w:rPr>
          <w:sz w:val="16"/>
          <w:szCs w:val="16"/>
        </w:rPr>
        <w:t xml:space="preserve">The book’s own table gives ________ as the classification of Deferred tax asset from warranty costs expected to reverse next year.</w:t>
      </w:r>
    </w:p>
    <w:p>
      <w:pPr>
        <w:spacing w:after="18"/>
        <w:ind w:left="300" w:hanging="300"/>
      </w:pPr>
      <w:r>
        <w:rPr>
          <w:b/>
          <w:bCs/>
          <w:color w:val="8186EF"/>
          <w:sz w:val="16"/>
          <w:szCs w:val="16"/>
        </w:rPr>
        <w:t xml:space="preserve">8  </w:t>
      </w:r>
      <w:r>
        <w:rPr>
          <w:sz w:val="16"/>
          <w:szCs w:val="16"/>
        </w:rPr>
        <w:t xml:space="preserve">The book pairs Cash set aside in a sinking fund to repay bonds in 2029 with “Noncurrent asset”.</w:t>
      </w:r>
    </w:p>
    <w:p>
      <w:pPr>
        <w:spacing w:after="18"/>
        <w:ind w:left="300" w:hanging="300"/>
      </w:pPr>
      <w:r>
        <w:rPr>
          <w:b/>
          <w:bCs/>
          <w:color w:val="8186EF"/>
          <w:sz w:val="16"/>
          <w:szCs w:val="16"/>
        </w:rPr>
        <w:t xml:space="preserve">9  </w:t>
      </w:r>
      <w:r>
        <w:rPr>
          <w:sz w:val="16"/>
          <w:szCs w:val="16"/>
        </w:rPr>
        <w:t xml:space="preserve">The book’s own table gives Noncurrent asset as the classification of Cash set aside in a sinking fund to repay bonds in 2029.</w:t>
      </w:r>
    </w:p>
    <w:p>
      <w:pPr>
        <w:spacing w:after="18"/>
        <w:ind w:left="300" w:hanging="300"/>
      </w:pPr>
      <w:r>
        <w:rPr>
          <w:b/>
          <w:bCs/>
          <w:color w:val="8186EF"/>
          <w:sz w:val="16"/>
          <w:szCs w:val="16"/>
        </w:rPr>
        <w:t xml:space="preserve">10  </w:t>
      </w:r>
      <w:r>
        <w:rPr>
          <w:sz w:val="16"/>
          <w:szCs w:val="16"/>
        </w:rPr>
        <w:t xml:space="preserve">The book’s own table gives Current asset as the classification of Date vinegar that Orontes ages for 18 months before sale.</w:t>
      </w:r>
    </w:p>
    <w:p>
      <w:pPr>
        <w:spacing w:after="18"/>
        <w:ind w:left="300" w:hanging="300"/>
      </w:pPr>
      <w:r>
        <w:rPr>
          <w:b/>
          <w:bCs/>
          <w:color w:val="8186EF"/>
          <w:sz w:val="16"/>
          <w:szCs w:val="16"/>
        </w:rPr>
        <w:t xml:space="preserve">11  </w:t>
      </w:r>
      <w:r>
        <w:rPr>
          <w:sz w:val="16"/>
          <w:szCs w:val="16"/>
        </w:rPr>
        <w:t xml:space="preserve">The book’s own table gives ________ as the classification of Cash surrender value of an executive life insurance policy.</w:t>
      </w:r>
    </w:p>
    <w:p>
      <w:pPr>
        <w:spacing w:after="18"/>
        <w:ind w:left="300" w:hanging="300"/>
      </w:pPr>
      <w:r>
        <w:rPr>
          <w:b/>
          <w:bCs/>
          <w:color w:val="8186EF"/>
          <w:sz w:val="16"/>
          <w:szCs w:val="16"/>
        </w:rPr>
        <w:t xml:space="preserve">12  </w:t>
      </w:r>
      <w:r>
        <w:rPr>
          <w:sz w:val="16"/>
          <w:szCs w:val="16"/>
        </w:rPr>
        <w:t xml:space="preserve">The book’s own table gives ________ as the classification of Bank loan due on demand; the bank has never asked for repayment.</w:t>
      </w:r>
    </w:p>
    <w:p>
      <w:pPr>
        <w:spacing w:after="18"/>
        <w:ind w:left="300" w:hanging="300"/>
      </w:pPr>
      <w:r>
        <w:rPr>
          <w:b/>
          <w:bCs/>
          <w:color w:val="8186EF"/>
          <w:sz w:val="16"/>
          <w:szCs w:val="16"/>
        </w:rPr>
        <w:t xml:space="preserve">13  </w:t>
      </w:r>
      <w:r>
        <w:rPr>
          <w:sz w:val="16"/>
          <w:szCs w:val="16"/>
        </w:rPr>
        <w:t xml:space="preserve">The book pairs Cash set aside in a sinking fund to repay bonds in 2029 with “Restricted for a noncurrent purpose”.</w:t>
      </w:r>
    </w:p>
    <w:p>
      <w:pPr>
        <w:spacing w:after="18"/>
        <w:ind w:left="300" w:hanging="300"/>
      </w:pPr>
      <w:r>
        <w:rPr>
          <w:b/>
          <w:bCs/>
          <w:color w:val="8186EF"/>
          <w:sz w:val="16"/>
          <w:szCs w:val="16"/>
        </w:rPr>
        <w:t xml:space="preserve">14  </w:t>
      </w:r>
      <w:r>
        <w:rPr>
          <w:sz w:val="16"/>
          <w:szCs w:val="16"/>
        </w:rPr>
        <w:t xml:space="preserve">The book pairs Date vinegar that Orontes ages for 18 months before sale with “The operating cycle is longer than one year, so the cycle applies”, not with “________”.</w:t>
      </w:r>
    </w:p>
    <w:p>
      <w:pPr>
        <w:spacing w:after="18"/>
        <w:ind w:left="300" w:hanging="300"/>
      </w:pPr>
      <w:r>
        <w:rPr>
          <w:b/>
          <w:bCs/>
          <w:color w:val="8186EF"/>
          <w:sz w:val="16"/>
          <w:szCs w:val="16"/>
        </w:rPr>
        <w:t xml:space="preserve">15  </w:t>
      </w:r>
      <w:r>
        <w:rPr>
          <w:sz w:val="16"/>
          <w:szCs w:val="16"/>
        </w:rPr>
        <w:t xml:space="preserve">Current means one year or the operating cycle, whichever is longer. A is wrong: The one-year test applies only when the operating cycle is shorter. C is wrong: Inventory in the normal cycle is not split.</w:t>
      </w:r>
    </w:p>
    <w:p>
      <w:pPr>
        <w:spacing w:after="18"/>
        <w:ind w:left="300" w:hanging="300"/>
      </w:pPr>
      <w:r>
        <w:rPr>
          <w:b/>
          <w:bCs/>
          <w:color w:val="8186EF"/>
          <w:sz w:val="16"/>
          <w:szCs w:val="16"/>
        </w:rPr>
        <w:t xml:space="preserve">16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17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18  </w:t>
      </w:r>
      <w:r>
        <w:rPr>
          <w:sz w:val="16"/>
          <w:szCs w:val="16"/>
        </w:rPr>
        <w:t xml:space="preserve">A waiver for more than one year obtained before issuance keeps the debt noncurrent. A is wrong: This is the IFRS answer. B is wrong: The waiver removes the lender's right to demand payment.</w:t>
      </w:r>
    </w:p>
    <w:p>
      <w:pPr>
        <w:spacing w:after="18"/>
        <w:ind w:left="300" w:hanging="300"/>
      </w:pPr>
      <w:r>
        <w:rPr>
          <w:b/>
          <w:bCs/>
          <w:color w:val="8186EF"/>
          <w:sz w:val="16"/>
          <w:szCs w:val="16"/>
        </w:rPr>
        <w:t xml:space="preserve">19  </w:t>
      </w:r>
      <w:r>
        <w:rPr>
          <w:sz w:val="16"/>
          <w:szCs w:val="16"/>
        </w:rPr>
        <w:t xml:space="preserve">Debt due on demand is current regardless of expectations. A is wrong: The lender's legal right, not expected behaviour, decides. C is wrong: The right to demand payment makes it current now.</w:t>
      </w:r>
    </w:p>
    <w:p>
      <w:pPr>
        <w:spacing w:after="18"/>
        <w:ind w:left="300" w:hanging="300"/>
      </w:pPr>
      <w:r>
        <w:rPr>
          <w:b/>
          <w:bCs/>
          <w:color w:val="8186EF"/>
          <w:sz w:val="16"/>
          <w:szCs w:val="16"/>
        </w:rPr>
        <w:t xml:space="preserve">20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2.3 · Classifying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2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3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4  </w:t>
      </w:r>
      <w:r>
        <w:rPr>
          <w:sz w:val="16"/>
          <w:szCs w:val="16"/>
        </w:rPr>
        <w:t xml:space="preserve">The book numbers “Current and noncurrent items” as section 2.2.</w:t>
      </w:r>
    </w:p>
    <w:p>
      <w:pPr>
        <w:spacing w:after="18"/>
        <w:ind w:left="300" w:hanging="300"/>
      </w:pPr>
      <w:r>
        <w:rPr>
          <w:b/>
          <w:bCs/>
          <w:color w:val="8186EF"/>
          <w:sz w:val="16"/>
          <w:szCs w:val="16"/>
        </w:rPr>
        <w:t xml:space="preserve">5  </w:t>
      </w:r>
      <w:r>
        <w:rPr>
          <w:sz w:val="16"/>
          <w:szCs w:val="16"/>
        </w:rPr>
        <w:t xml:space="preserve">The book numbers “Classifying debt” as section 2.3.</w:t>
      </w:r>
    </w:p>
    <w:p>
      <w:pPr>
        <w:spacing w:after="18"/>
        <w:ind w:left="300" w:hanging="300"/>
      </w:pPr>
      <w:r>
        <w:rPr>
          <w:b/>
          <w:bCs/>
          <w:color w:val="8186EF"/>
          <w:sz w:val="16"/>
          <w:szCs w:val="16"/>
        </w:rPr>
        <w:t xml:space="preserve">6  </w:t>
      </w:r>
      <w:r>
        <w:rPr>
          <w:sz w:val="16"/>
          <w:szCs w:val="16"/>
        </w:rPr>
        <w:t xml:space="preserve">The book numbers “Other presentation matters” as section 2.4.</w:t>
      </w:r>
    </w:p>
    <w:p>
      <w:pPr>
        <w:spacing w:after="18"/>
        <w:ind w:left="300" w:hanging="300"/>
      </w:pPr>
      <w:r>
        <w:rPr>
          <w:b/>
          <w:bCs/>
          <w:color w:val="8186EF"/>
          <w:sz w:val="16"/>
          <w:szCs w:val="16"/>
        </w:rPr>
        <w:t xml:space="preserve">7  </w:t>
      </w:r>
      <w:r>
        <w:rPr>
          <w:sz w:val="16"/>
          <w:szCs w:val="16"/>
        </w:rPr>
        <w:t xml:space="preserve">The book numbers “Limitations and links to the other statements” as section 2.5.</w:t>
      </w:r>
    </w:p>
    <w:p>
      <w:pPr>
        <w:spacing w:after="18"/>
        <w:ind w:left="300" w:hanging="300"/>
      </w:pPr>
      <w:r>
        <w:rPr>
          <w:b/>
          <w:bCs/>
          <w:color w:val="8186EF"/>
          <w:sz w:val="16"/>
          <w:szCs w:val="16"/>
        </w:rPr>
        <w:t xml:space="preserve">8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9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10  </w:t>
      </w:r>
      <w:r>
        <w:rPr>
          <w:sz w:val="16"/>
          <w:szCs w:val="16"/>
        </w:rPr>
        <w:t xml:space="preserve">The book numbers “Current and noncurrent items” as section 2.2.</w:t>
      </w:r>
    </w:p>
    <w:p>
      <w:pPr>
        <w:spacing w:after="18"/>
        <w:ind w:left="300" w:hanging="300"/>
      </w:pPr>
      <w:r>
        <w:rPr>
          <w:b/>
          <w:bCs/>
          <w:color w:val="8186EF"/>
          <w:sz w:val="16"/>
          <w:szCs w:val="16"/>
        </w:rPr>
        <w:t xml:space="preserve">11  </w:t>
      </w:r>
      <w:r>
        <w:rPr>
          <w:sz w:val="16"/>
          <w:szCs w:val="16"/>
        </w:rPr>
        <w:t xml:space="preserve">The book numbers “Classifying debt” as section 2.3.</w:t>
      </w:r>
    </w:p>
    <w:p>
      <w:pPr>
        <w:spacing w:after="18"/>
        <w:ind w:left="300" w:hanging="300"/>
      </w:pPr>
      <w:r>
        <w:rPr>
          <w:b/>
          <w:bCs/>
          <w:color w:val="8186EF"/>
          <w:sz w:val="16"/>
          <w:szCs w:val="16"/>
        </w:rPr>
        <w:t xml:space="preserve">12  </w:t>
      </w:r>
      <w:r>
        <w:rPr>
          <w:sz w:val="16"/>
          <w:szCs w:val="16"/>
        </w:rPr>
        <w:t xml:space="preserve">The book numbers “Other presentation matters” as section 2.4.</w:t>
      </w:r>
    </w:p>
    <w:p>
      <w:pPr>
        <w:spacing w:after="18"/>
        <w:ind w:left="300" w:hanging="300"/>
      </w:pPr>
      <w:r>
        <w:rPr>
          <w:b/>
          <w:bCs/>
          <w:color w:val="8186EF"/>
          <w:sz w:val="16"/>
          <w:szCs w:val="16"/>
        </w:rPr>
        <w:t xml:space="preserve">13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14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15  </w:t>
      </w:r>
      <w:r>
        <w:rPr>
          <w:sz w:val="16"/>
          <w:szCs w:val="16"/>
        </w:rPr>
        <w:t xml:space="preserve">All deferred tax assets and liabilities are noncurrent. A is wrong: The old current/noncurrent split was removed. C is wrong: It cannot be offset against taxes payable without a right of setoff.</w:t>
      </w:r>
    </w:p>
    <w:p>
      <w:pPr>
        <w:spacing w:after="18"/>
        <w:ind w:left="300" w:hanging="300"/>
      </w:pPr>
      <w:r>
        <w:rPr>
          <w:b/>
          <w:bCs/>
          <w:color w:val="8186EF"/>
          <w:sz w:val="16"/>
          <w:szCs w:val="16"/>
        </w:rPr>
        <w:t xml:space="preserve">16  </w:t>
      </w:r>
      <w:r>
        <w:rPr>
          <w:sz w:val="16"/>
          <w:szCs w:val="16"/>
        </w:rPr>
        <w:t xml:space="preserve">Internally developed intangibles are not recognized as assets. A is wrong: A purchased brand is recorded at its cost. B is wrong: Acquired goodwill is recorded.</w:t>
      </w:r>
    </w:p>
    <w:p>
      <w:pPr>
        <w:spacing w:after="18"/>
        <w:ind w:left="300" w:hanging="300"/>
      </w:pPr>
      <w:r>
        <w:rPr>
          <w:b/>
          <w:bCs/>
          <w:color w:val="8186EF"/>
          <w:sz w:val="16"/>
          <w:szCs w:val="16"/>
        </w:rPr>
        <w:t xml:space="preserve">17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Year-end amounts can be managed because the statement shows a single day. A is wrong: Cash and payables are not measured at historical cost in this sense. B is wrong: No intangible is involved.</w:t>
      </w:r>
    </w:p>
    <w:p>
      <w:pPr>
        <w:spacing w:after="18"/>
        <w:ind w:left="300" w:hanging="300"/>
      </w:pPr>
      <w:r>
        <w:rPr>
          <w:b/>
          <w:bCs/>
          <w:color w:val="8186EF"/>
          <w:sz w:val="16"/>
          <w:szCs w:val="16"/>
        </w:rPr>
        <w:t xml:space="preserve">24  </w:t>
      </w:r>
      <w:r>
        <w:rPr>
          <w:sz w:val="16"/>
          <w:szCs w:val="16"/>
        </w:rPr>
        <w:t xml:space="preserve">Equity is assets minus liabilities as recorded. A is wrong: Market value depends on share prices, not on book amounts. B is wrong: Equity is not a cash amount.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2.4 · Other presentation matters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2  </w:t>
      </w:r>
      <w:r>
        <w:rPr>
          <w:sz w:val="16"/>
          <w:szCs w:val="16"/>
        </w:rPr>
        <w:t xml:space="preserve">The book’s own table pairs Reasonably possible with “No accrual”.</w:t>
      </w:r>
    </w:p>
    <w:p>
      <w:pPr>
        <w:spacing w:after="18"/>
        <w:ind w:left="300" w:hanging="300"/>
      </w:pPr>
      <w:r>
        <w:rPr>
          <w:b/>
          <w:bCs/>
          <w:color w:val="8186EF"/>
          <w:sz w:val="16"/>
          <w:szCs w:val="16"/>
        </w:rPr>
        <w:t xml:space="preserve">3  </w:t>
      </w:r>
      <w:r>
        <w:rPr>
          <w:sz w:val="16"/>
          <w:szCs w:val="16"/>
        </w:rPr>
        <w:t xml:space="preserve">The book’s own table pairs Gain contingency with “Never recognized before it is realized”.</w:t>
      </w:r>
    </w:p>
    <w:p>
      <w:pPr>
        <w:spacing w:after="18"/>
        <w:ind w:left="300" w:hanging="300"/>
      </w:pPr>
      <w:r>
        <w:rPr>
          <w:b/>
          <w:bCs/>
          <w:color w:val="8186EF"/>
          <w:sz w:val="16"/>
          <w:szCs w:val="16"/>
        </w:rPr>
        <w:t xml:space="preserve">4  </w:t>
      </w:r>
      <w:r>
        <w:rPr>
          <w:sz w:val="16"/>
          <w:szCs w:val="16"/>
        </w:rPr>
        <w:t xml:space="preserve">The book’s own table gives Accrue and disclose as the disclosure of Probable.</w:t>
      </w:r>
    </w:p>
    <w:p>
      <w:pPr>
        <w:spacing w:after="18"/>
        <w:ind w:left="300" w:hanging="300"/>
      </w:pPr>
      <w:r>
        <w:rPr>
          <w:b/>
          <w:bCs/>
          <w:color w:val="8186EF"/>
          <w:sz w:val="16"/>
          <w:szCs w:val="16"/>
        </w:rPr>
        <w:t xml:space="preserve">5  </w:t>
      </w:r>
      <w:r>
        <w:rPr>
          <w:sz w:val="16"/>
          <w:szCs w:val="16"/>
        </w:rPr>
        <w:t xml:space="preserve">The book’s own table gives Disclose the nature and an estimate (or say it cannot be estimated) as the disclosure of Reasonably possible.</w:t>
      </w:r>
    </w:p>
    <w:p>
      <w:pPr>
        <w:spacing w:after="18"/>
        <w:ind w:left="300" w:hanging="300"/>
      </w:pPr>
      <w:r>
        <w:rPr>
          <w:b/>
          <w:bCs/>
          <w:color w:val="8186EF"/>
          <w:sz w:val="16"/>
          <w:szCs w:val="16"/>
        </w:rPr>
        <w:t xml:space="preserve">6  </w:t>
      </w:r>
      <w:r>
        <w:rPr>
          <w:sz w:val="16"/>
          <w:szCs w:val="16"/>
        </w:rPr>
        <w:t xml:space="preserve">The book’s own table gives No disclosure (except guarantees) as the disclosure of Remote.</w:t>
      </w:r>
    </w:p>
    <w:p>
      <w:pPr>
        <w:spacing w:after="18"/>
        <w:ind w:left="300" w:hanging="300"/>
      </w:pPr>
      <w:r>
        <w:rPr>
          <w:b/>
          <w:bCs/>
          <w:color w:val="8186EF"/>
          <w:sz w:val="16"/>
          <w:szCs w:val="16"/>
        </w:rPr>
        <w:t xml:space="preserve">7  </w:t>
      </w:r>
      <w:r>
        <w:rPr>
          <w:sz w:val="16"/>
          <w:szCs w:val="16"/>
        </w:rPr>
        <w:t xml:space="preserve">The book’s own table gives Disclose carefully, without misleading as the disclosure of Gain contingency.</w:t>
      </w:r>
    </w:p>
    <w:p>
      <w:pPr>
        <w:spacing w:after="18"/>
        <w:ind w:left="300" w:hanging="300"/>
      </w:pPr>
      <w:r>
        <w:rPr>
          <w:b/>
          <w:bCs/>
          <w:color w:val="8186EF"/>
          <w:sz w:val="16"/>
          <w:szCs w:val="16"/>
        </w:rPr>
        <w:t xml:space="preserve">8  </w:t>
      </w:r>
      <w:r>
        <w:rPr>
          <w:sz w:val="16"/>
          <w:szCs w:val="16"/>
        </w:rPr>
        <w:t xml:space="preserve">The book pairs Probable with “Accrue and disclose”.</w:t>
      </w:r>
    </w:p>
    <w:p>
      <w:pPr>
        <w:spacing w:after="18"/>
        <w:ind w:left="300" w:hanging="300"/>
      </w:pPr>
      <w:r>
        <w:rPr>
          <w:b/>
          <w:bCs/>
          <w:color w:val="8186EF"/>
          <w:sz w:val="16"/>
          <w:szCs w:val="16"/>
        </w:rPr>
        <w:t xml:space="preserve">9  </w:t>
      </w:r>
      <w:r>
        <w:rPr>
          <w:sz w:val="16"/>
          <w:szCs w:val="16"/>
        </w:rPr>
        <w:t xml:space="preserve">The book pairs Reasonably possible with “Disclose the nature and an estimate (or say it cannot be estimated)”, not with “Accrue and disclose”.</w:t>
      </w:r>
    </w:p>
    <w:p>
      <w:pPr>
        <w:spacing w:after="18"/>
        <w:ind w:left="300" w:hanging="300"/>
      </w:pPr>
      <w:r>
        <w:rPr>
          <w:b/>
          <w:bCs/>
          <w:color w:val="8186EF"/>
          <w:sz w:val="16"/>
          <w:szCs w:val="16"/>
        </w:rPr>
        <w:t xml:space="preserve">10  </w:t>
      </w:r>
      <w:r>
        <w:rPr>
          <w:sz w:val="16"/>
          <w:szCs w:val="16"/>
        </w:rPr>
        <w:t xml:space="preserve">The book pairs Remote with “No disclosure (except guarantees)”.</w:t>
      </w:r>
    </w:p>
    <w:p>
      <w:pPr>
        <w:spacing w:after="18"/>
        <w:ind w:left="300" w:hanging="300"/>
      </w:pPr>
      <w:r>
        <w:rPr>
          <w:b/>
          <w:bCs/>
          <w:color w:val="8186EF"/>
          <w:sz w:val="16"/>
          <w:szCs w:val="16"/>
        </w:rPr>
        <w:t xml:space="preserve">11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12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13  </w:t>
      </w:r>
      <w:r>
        <w:rPr>
          <w:sz w:val="16"/>
          <w:szCs w:val="16"/>
        </w:rPr>
        <w:t xml:space="preserve">The book’s own table pairs Reasonably possible with “No accrual”.</w:t>
      </w:r>
    </w:p>
    <w:p>
      <w:pPr>
        <w:spacing w:after="18"/>
        <w:ind w:left="300" w:hanging="300"/>
      </w:pPr>
      <w:r>
        <w:rPr>
          <w:b/>
          <w:bCs/>
          <w:color w:val="8186EF"/>
          <w:sz w:val="16"/>
          <w:szCs w:val="16"/>
        </w:rPr>
        <w:t xml:space="preserve">14  </w:t>
      </w:r>
      <w:r>
        <w:rPr>
          <w:sz w:val="16"/>
          <w:szCs w:val="16"/>
        </w:rPr>
        <w:t xml:space="preserve">The book’s own table pairs Remote with “No accrual”.</w:t>
      </w:r>
    </w:p>
    <w:p>
      <w:pPr>
        <w:spacing w:after="18"/>
        <w:ind w:left="300" w:hanging="300"/>
      </w:pPr>
      <w:r>
        <w:rPr>
          <w:b/>
          <w:bCs/>
          <w:color w:val="8186EF"/>
          <w:sz w:val="16"/>
          <w:szCs w:val="16"/>
        </w:rPr>
        <w:t xml:space="preserve">15  </w:t>
      </w:r>
      <w:r>
        <w:rPr>
          <w:sz w:val="16"/>
          <w:szCs w:val="16"/>
        </w:rPr>
        <w:t xml:space="preserve">The book’s own table pairs Gain contingency with “Never recognized before it is realized”.</w:t>
      </w:r>
    </w:p>
    <w:p>
      <w:pPr>
        <w:spacing w:after="18"/>
        <w:ind w:left="300" w:hanging="300"/>
      </w:pPr>
      <w:r>
        <w:rPr>
          <w:b/>
          <w:bCs/>
          <w:color w:val="8186EF"/>
          <w:sz w:val="16"/>
          <w:szCs w:val="16"/>
        </w:rPr>
        <w:t xml:space="preserve">16  </w:t>
      </w:r>
      <w:r>
        <w:rPr>
          <w:sz w:val="16"/>
          <w:szCs w:val="16"/>
        </w:rPr>
        <w:t xml:space="preserve">The book pairs Probable with “Accrue and disclose”.</w:t>
      </w:r>
    </w:p>
    <w:p>
      <w:pPr>
        <w:spacing w:after="18"/>
        <w:ind w:left="300" w:hanging="300"/>
      </w:pPr>
      <w:r>
        <w:rPr>
          <w:b/>
          <w:bCs/>
          <w:color w:val="8186EF"/>
          <w:sz w:val="16"/>
          <w:szCs w:val="16"/>
        </w:rPr>
        <w:t xml:space="preserve">17  </w:t>
      </w:r>
      <w:r>
        <w:rPr>
          <w:sz w:val="16"/>
          <w:szCs w:val="16"/>
        </w:rPr>
        <w:t xml:space="preserve">The book pairs Reasonably possible with “Disclose the nature and an estimate (or say it cannot be estimated)”, not with “Disclose carefully, without misleading”.</w:t>
      </w:r>
    </w:p>
    <w:p>
      <w:pPr>
        <w:spacing w:after="18"/>
        <w:ind w:left="300" w:hanging="300"/>
      </w:pPr>
      <w:r>
        <w:rPr>
          <w:b/>
          <w:bCs/>
          <w:color w:val="8186EF"/>
          <w:sz w:val="16"/>
          <w:szCs w:val="16"/>
        </w:rPr>
        <w:t xml:space="preserve">18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19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20  </w:t>
      </w:r>
      <w:r>
        <w:rPr>
          <w:sz w:val="16"/>
          <w:szCs w:val="16"/>
        </w:rPr>
        <w:t xml:space="preserve">Opening + net income − dividends declared. OCI goes to AOCI, not retained earnings. A is wrong: This puts OCI into retained earnings. C is wrong: This deducts only the dividends paid, not those declared.</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2  </w:t>
      </w:r>
      <w:r>
        <w:rPr>
          <w:sz w:val="16"/>
          <w:szCs w:val="16"/>
        </w:rPr>
        <w:t xml:space="preserve">The book numbers “Current and noncurrent items” as section 2.2.</w:t>
      </w:r>
    </w:p>
    <w:p>
      <w:pPr>
        <w:spacing w:after="18"/>
        <w:ind w:left="300" w:hanging="300"/>
      </w:pPr>
      <w:r>
        <w:rPr>
          <w:b/>
          <w:bCs/>
          <w:color w:val="8186EF"/>
          <w:sz w:val="16"/>
          <w:szCs w:val="16"/>
        </w:rPr>
        <w:t xml:space="preserve">3  </w:t>
      </w:r>
      <w:r>
        <w:rPr>
          <w:sz w:val="16"/>
          <w:szCs w:val="16"/>
        </w:rPr>
        <w:t xml:space="preserve">The book numbers “Classifying debt” as section 2.3.</w:t>
      </w:r>
    </w:p>
    <w:p>
      <w:pPr>
        <w:spacing w:after="18"/>
        <w:ind w:left="300" w:hanging="300"/>
      </w:pPr>
      <w:r>
        <w:rPr>
          <w:b/>
          <w:bCs/>
          <w:color w:val="8186EF"/>
          <w:sz w:val="16"/>
          <w:szCs w:val="16"/>
        </w:rPr>
        <w:t xml:space="preserve">4  </w:t>
      </w:r>
      <w:r>
        <w:rPr>
          <w:sz w:val="16"/>
          <w:szCs w:val="16"/>
        </w:rPr>
        <w:t xml:space="preserve">The book numbers “Other presentation matters” as section 2.4.</w:t>
      </w:r>
    </w:p>
    <w:p>
      <w:pPr>
        <w:spacing w:after="18"/>
        <w:ind w:left="300" w:hanging="300"/>
      </w:pPr>
      <w:r>
        <w:rPr>
          <w:b/>
          <w:bCs/>
          <w:color w:val="8186EF"/>
          <w:sz w:val="16"/>
          <w:szCs w:val="16"/>
        </w:rPr>
        <w:t xml:space="preserve">5  </w:t>
      </w:r>
      <w:r>
        <w:rPr>
          <w:sz w:val="16"/>
          <w:szCs w:val="16"/>
        </w:rPr>
        <w:t xml:space="preserve">The book numbers “Limitations and links to the other statements” as section 2.5.</w:t>
      </w:r>
    </w:p>
    <w:p>
      <w:pPr>
        <w:spacing w:after="18"/>
        <w:ind w:left="300" w:hanging="300"/>
      </w:pPr>
      <w:r>
        <w:rPr>
          <w:b/>
          <w:bCs/>
          <w:color w:val="8186EF"/>
          <w:sz w:val="16"/>
          <w:szCs w:val="16"/>
        </w:rPr>
        <w:t xml:space="preserve">6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7  </w:t>
      </w:r>
      <w:r>
        <w:rPr>
          <w:sz w:val="16"/>
          <w:szCs w:val="16"/>
        </w:rPr>
        <w:t xml:space="preserve">The book’s own table gives Noncurrent asset as the category of Land.</w:t>
      </w:r>
    </w:p>
    <w:p>
      <w:pPr>
        <w:spacing w:after="18"/>
        <w:ind w:left="300" w:hanging="300"/>
      </w:pPr>
      <w:r>
        <w:rPr>
          <w:b/>
          <w:bCs/>
          <w:color w:val="8186EF"/>
          <w:sz w:val="16"/>
          <w:szCs w:val="16"/>
        </w:rPr>
        <w:t xml:space="preserve">8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9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10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11  </w:t>
      </w:r>
      <w:r>
        <w:rPr>
          <w:sz w:val="16"/>
          <w:szCs w:val="16"/>
        </w:rPr>
        <w:t xml:space="preserve">The book numbers “Current and noncurrent items” as section 2.2.</w:t>
      </w:r>
    </w:p>
    <w:p>
      <w:pPr>
        <w:spacing w:after="18"/>
        <w:ind w:left="300" w:hanging="300"/>
      </w:pPr>
      <w:r>
        <w:rPr>
          <w:b/>
          <w:bCs/>
          <w:color w:val="8186EF"/>
          <w:sz w:val="16"/>
          <w:szCs w:val="16"/>
        </w:rPr>
        <w:t xml:space="preserve">12  </w:t>
      </w:r>
      <w:r>
        <w:rPr>
          <w:sz w:val="16"/>
          <w:szCs w:val="16"/>
        </w:rPr>
        <w:t xml:space="preserve">The book numbers “Classifying debt” as section 2.3.</w:t>
      </w:r>
    </w:p>
    <w:p>
      <w:pPr>
        <w:spacing w:after="18"/>
        <w:ind w:left="300" w:hanging="300"/>
      </w:pPr>
      <w:r>
        <w:rPr>
          <w:b/>
          <w:bCs/>
          <w:color w:val="8186EF"/>
          <w:sz w:val="16"/>
          <w:szCs w:val="16"/>
        </w:rPr>
        <w:t xml:space="preserve">13  </w:t>
      </w:r>
      <w:r>
        <w:rPr>
          <w:sz w:val="16"/>
          <w:szCs w:val="16"/>
        </w:rPr>
        <w:t xml:space="preserve">The book numbers “Other presentation matters” as section 2.4.</w:t>
      </w:r>
    </w:p>
    <w:p>
      <w:pPr>
        <w:spacing w:after="18"/>
        <w:ind w:left="300" w:hanging="300"/>
      </w:pPr>
      <w:r>
        <w:rPr>
          <w:b/>
          <w:bCs/>
          <w:color w:val="8186EF"/>
          <w:sz w:val="16"/>
          <w:szCs w:val="16"/>
        </w:rPr>
        <w:t xml:space="preserve">14  </w:t>
      </w:r>
      <w:r>
        <w:rPr>
          <w:sz w:val="16"/>
          <w:szCs w:val="16"/>
        </w:rPr>
        <w:t xml:space="preserve">Compare your sentence with the book’s wording in the key.</w:t>
      </w:r>
    </w:p>
    <w:p>
      <w:pPr>
        <w:spacing w:after="18"/>
        <w:ind w:left="300" w:hanging="300"/>
      </w:pPr>
      <w:r>
        <w:rPr>
          <w:b/>
          <w:bCs/>
          <w:color w:val="8186EF"/>
          <w:sz w:val="16"/>
          <w:szCs w:val="16"/>
        </w:rPr>
        <w:t xml:space="preserve">15  </w:t>
      </w:r>
      <w:r>
        <w:rPr>
          <w:sz w:val="16"/>
          <w:szCs w:val="16"/>
        </w:rPr>
        <w:t xml:space="preserve">Every cycle settles one rule and shows where it comes from.</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exam marks the term, so the English word is the answer.</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2.1: Purpose and structure of the balance sheet. 2.2: Current and noncurrent items. 2.3: Classifying debt. 2.4: Other presentation matters. 2.5: Limitations and links to the other statements.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  </w:t>
      </w:r>
      <w:r>
        <w:rPr>
          <w:sz w:val="16"/>
          <w:szCs w:val="16"/>
        </w:rPr>
        <w:t xml:space="preserve">IFRS looks only at the right to defer that existed at the reporting date. A is wrong: This is the U.S. GAAP answer; under IFRS a waiver after the reporting date does not count. B is wrong: Expectations do not matter; the right at the reporting date does.</w:t>
      </w:r>
    </w:p>
    <w:p>
      <w:pPr>
        <w:spacing w:after="18"/>
        <w:ind w:left="300" w:hanging="300"/>
      </w:pPr>
      <w:r>
        <w:rPr>
          <w:b/>
          <w:bCs/>
          <w:color w:val="8186EF"/>
          <w:sz w:val="16"/>
          <w:szCs w:val="16"/>
        </w:rPr>
        <w:t xml:space="preserve">3  </w:t>
      </w:r>
      <w:r>
        <w:rPr>
          <w:sz w:val="16"/>
          <w:szCs w:val="16"/>
        </w:rPr>
        <w:t xml:space="preserve">Reasonably possible losses are disclosed, not accrued. B is wrong: Accrual needs a probable loss. C is wrong: Reasonably possible losses must be disclosed.</w:t>
      </w:r>
    </w:p>
    <w:p>
      <w:pPr>
        <w:spacing w:after="18"/>
        <w:ind w:left="300" w:hanging="300"/>
      </w:pPr>
      <w:r>
        <w:rPr>
          <w:b/>
          <w:bCs/>
          <w:color w:val="8186EF"/>
          <w:sz w:val="16"/>
          <w:szCs w:val="16"/>
        </w:rPr>
        <w:t xml:space="preserve">4  </w:t>
      </w:r>
      <w:r>
        <w:rPr>
          <w:sz w:val="16"/>
          <w:szCs w:val="16"/>
        </w:rPr>
        <w:t xml:space="preserve">The flood happened after year-end, so it is a nonrecognized event. A is wrong: Only conditions that existed at year-end are recorded. B is wrong: No entry is made for a condition that arose after year-end.</w:t>
      </w:r>
    </w:p>
    <w:p>
      <w:pPr>
        <w:spacing w:after="18"/>
        <w:ind w:left="300" w:hanging="300"/>
      </w:pPr>
      <w:r>
        <w:rPr>
          <w:b/>
          <w:bCs/>
          <w:color w:val="8186EF"/>
          <w:sz w:val="16"/>
          <w:szCs w:val="16"/>
        </w:rPr>
        <w:t xml:space="preserve">5  </w:t>
      </w:r>
      <w:r>
        <w:rPr>
          <w:sz w:val="16"/>
          <w:szCs w:val="16"/>
        </w:rPr>
        <w:t xml:space="preserve">Most assets, including land, are at historical cost. B is wrong: The balance sheet is not a valuation; land stays at cost. C is wrong: There is no averaging of cost and value.</w:t>
      </w:r>
    </w:p>
    <w:p>
      <w:pPr>
        <w:spacing w:after="18"/>
        <w:ind w:left="300" w:hanging="300"/>
      </w:pPr>
      <w:r>
        <w:rPr>
          <w:b/>
          <w:bCs/>
          <w:color w:val="8186EF"/>
          <w:sz w:val="16"/>
          <w:szCs w:val="16"/>
        </w:rPr>
        <w:t xml:space="preserve">6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7  </w:t>
      </w:r>
      <w:r>
        <w:rPr>
          <w:sz w:val="16"/>
          <w:szCs w:val="16"/>
        </w:rPr>
        <w:t xml:space="preserve">The map shows the order the decisions have to be taken in.</w:t>
      </w:r>
    </w:p>
    <w:p>
      <w:pPr>
        <w:spacing w:after="18"/>
        <w:ind w:left="300" w:hanging="300"/>
      </w:pPr>
      <w:r>
        <w:rPr>
          <w:b/>
          <w:bCs/>
          <w:color w:val="8186EF"/>
          <w:sz w:val="16"/>
          <w:szCs w:val="16"/>
        </w:rPr>
        <w:t xml:space="preserve">8  </w:t>
      </w:r>
      <w:r>
        <w:rPr>
          <w:sz w:val="16"/>
          <w:szCs w:val="16"/>
        </w:rPr>
        <w:t xml:space="preserve">The book numbers it 2.1.</w:t>
      </w:r>
    </w:p>
    <w:p>
      <w:pPr>
        <w:spacing w:after="18"/>
        <w:ind w:left="300" w:hanging="300"/>
      </w:pPr>
      <w:r>
        <w:rPr>
          <w:b/>
          <w:bCs/>
          <w:color w:val="8186EF"/>
          <w:sz w:val="16"/>
          <w:szCs w:val="16"/>
        </w:rPr>
        <w:t xml:space="preserve">9  </w:t>
      </w:r>
      <w:r>
        <w:rPr>
          <w:sz w:val="16"/>
          <w:szCs w:val="16"/>
        </w:rPr>
        <w:t xml:space="preserve">The book numbers it 2.2.</w:t>
      </w:r>
    </w:p>
    <w:p>
      <w:pPr>
        <w:spacing w:after="18"/>
        <w:ind w:left="300" w:hanging="300"/>
      </w:pPr>
      <w:r>
        <w:rPr>
          <w:b/>
          <w:bCs/>
          <w:color w:val="8186EF"/>
          <w:sz w:val="16"/>
          <w:szCs w:val="16"/>
        </w:rPr>
        <w:t xml:space="preserve">10  </w:t>
      </w:r>
      <w:r>
        <w:rPr>
          <w:sz w:val="16"/>
          <w:szCs w:val="16"/>
        </w:rPr>
        <w:t xml:space="preserve">The book numbers it 2.3.</w:t>
      </w:r>
    </w:p>
    <w:p>
      <w:pPr>
        <w:spacing w:after="18"/>
        <w:ind w:left="300" w:hanging="300"/>
      </w:pPr>
      <w:r>
        <w:rPr>
          <w:b/>
          <w:bCs/>
          <w:color w:val="8186EF"/>
          <w:sz w:val="16"/>
          <w:szCs w:val="16"/>
        </w:rPr>
        <w:t xml:space="preserve">16  </w:t>
      </w:r>
      <w:r>
        <w:rPr>
          <w:sz w:val="16"/>
          <w:szCs w:val="16"/>
        </w:rPr>
        <w:t xml:space="preserve">Most assets, including land, are at historical cost. B is wrong: The balance sheet is not a valuation; land stays at cost. C is wrong: There is no averaging of cost and value.</w:t>
      </w:r>
    </w:p>
    <w:p>
      <w:pPr>
        <w:spacing w:after="18"/>
        <w:ind w:left="300" w:hanging="300"/>
      </w:pPr>
      <w:r>
        <w:rPr>
          <w:b/>
          <w:bCs/>
          <w:color w:val="8186EF"/>
          <w:sz w:val="16"/>
          <w:szCs w:val="16"/>
        </w:rPr>
        <w:t xml:space="preserve">17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C2-1 in those words.</w:t>
      </w:r>
    </w:p>
    <w:p>
      <w:pPr>
        <w:spacing w:after="18"/>
        <w:ind w:left="300" w:hanging="300"/>
      </w:pPr>
      <w:r>
        <w:rPr>
          <w:b/>
          <w:bCs/>
          <w:color w:val="8186EF"/>
          <w:sz w:val="16"/>
          <w:szCs w:val="16"/>
        </w:rPr>
        <w:t xml:space="preserve">20  </w:t>
      </w:r>
      <w:r>
        <w:rPr>
          <w:sz w:val="16"/>
          <w:szCs w:val="16"/>
        </w:rPr>
        <w:t xml:space="preserve">The book states item C2-2 in those words.</w:t>
      </w:r>
    </w:p>
    <w:p>
      <w:pPr>
        <w:spacing w:after="18"/>
        <w:ind w:left="300" w:hanging="300"/>
      </w:pPr>
      <w:r>
        <w:rPr>
          <w:b/>
          <w:bCs/>
          <w:color w:val="8186EF"/>
          <w:sz w:val="16"/>
          <w:szCs w:val="16"/>
        </w:rPr>
        <w:t xml:space="preserve">21  </w:t>
      </w:r>
      <w:r>
        <w:rPr>
          <w:sz w:val="16"/>
          <w:szCs w:val="16"/>
        </w:rPr>
        <w:t xml:space="preserve">The book states item C2-3 in those words.</w:t>
      </w:r>
    </w:p>
    <w:p>
      <w:pPr>
        <w:spacing w:after="18"/>
        <w:ind w:left="300" w:hanging="300"/>
      </w:pPr>
      <w:r>
        <w:rPr>
          <w:b/>
          <w:bCs/>
          <w:color w:val="8186EF"/>
          <w:sz w:val="16"/>
          <w:szCs w:val="16"/>
        </w:rPr>
        <w:t xml:space="preserve">22  </w:t>
      </w:r>
      <w:r>
        <w:rPr>
          <w:sz w:val="16"/>
          <w:szCs w:val="16"/>
        </w:rPr>
        <w:t xml:space="preserve">The book states item C2-4 in those words.</w:t>
      </w:r>
    </w:p>
    <w:p>
      <w:pPr>
        <w:spacing w:after="18"/>
        <w:ind w:left="300" w:hanging="300"/>
      </w:pPr>
      <w:r>
        <w:rPr>
          <w:b/>
          <w:bCs/>
          <w:color w:val="8186EF"/>
          <w:sz w:val="16"/>
          <w:szCs w:val="16"/>
        </w:rPr>
        <w:t xml:space="preserve">23  </w:t>
      </w:r>
      <w:r>
        <w:rPr>
          <w:sz w:val="16"/>
          <w:szCs w:val="16"/>
        </w:rPr>
        <w:t xml:space="preserve">The book states item C2-5 in those words.</w:t>
      </w:r>
    </w:p>
    <w:p>
      <w:pPr>
        <w:spacing w:after="18"/>
        <w:ind w:left="300" w:hanging="300"/>
      </w:pPr>
      <w:r>
        <w:rPr>
          <w:b/>
          <w:bCs/>
          <w:color w:val="8186EF"/>
          <w:sz w:val="16"/>
          <w:szCs w:val="16"/>
        </w:rPr>
        <w:t xml:space="preserve">24  </w:t>
      </w:r>
      <w:r>
        <w:rPr>
          <w:sz w:val="16"/>
          <w:szCs w:val="16"/>
        </w:rPr>
        <w:t xml:space="preserve">The book states item C2-6 in those words.</w:t>
      </w:r>
    </w:p>
    <w:p>
      <w:pPr>
        <w:spacing w:after="18"/>
        <w:ind w:left="300" w:hanging="300"/>
      </w:pPr>
      <w:r>
        <w:rPr>
          <w:b/>
          <w:bCs/>
          <w:color w:val="8186EF"/>
          <w:sz w:val="16"/>
          <w:szCs w:val="16"/>
        </w:rPr>
        <w:t xml:space="preserve">25  </w:t>
      </w:r>
      <w:r>
        <w:rPr>
          <w:sz w:val="16"/>
          <w:szCs w:val="16"/>
        </w:rPr>
        <w:t xml:space="preserve">Principal due within one year is the current portion of long-term debt. A is wrong: The part due within a year must be moved to current liabilities. C is wrong: Cash is paid only when the installment is paid.</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 — answer keys</dc:title>
  <dc:subject>The Balance Sheet</dc:subject>
  <cp:category>Student Book</cp:category>
</cp:coreProperties>
</file>