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3.1 · Purpose and structure of the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The income statement reports a company's revenues, expenses, gains and losses for a period, usually a year. The result is net income, which increases retained earnings. Where the balance sheet is a photograph, the income statement is a film of the whole year.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2  </w:t>
      </w:r>
      <w:r>
        <w:rPr>
          <w:sz w:val="16"/>
          <w:szCs w:val="16"/>
        </w:rPr>
        <w:t xml:space="preserve">EPS is required for income from continuing operations and net income. A is wrong: EPS is not shown for these subtotals. B is wrong: EPS is not required for comprehensive income.</w:t>
      </w:r>
    </w:p>
    <w:p>
      <w:pPr>
        <w:spacing w:after="18"/>
        <w:ind w:left="300" w:hanging="300"/>
      </w:pPr>
      <w:r>
        <w:rPr>
          <w:b/>
          <w:bCs/>
          <w:color w:val="8186EF"/>
          <w:sz w:val="16"/>
          <w:szCs w:val="16"/>
        </w:rPr>
        <w:t xml:space="preserve">3  </w:t>
      </w:r>
      <w:r>
        <w:rPr>
          <w:sz w:val="16"/>
          <w:szCs w:val="16"/>
        </w:rPr>
        <w:t xml:space="preserve">The book’s own table gives Operating expenses as the category of Fire loss.</w:t>
      </w:r>
    </w:p>
    <w:p>
      <w:pPr>
        <w:spacing w:after="18"/>
        <w:ind w:left="300" w:hanging="300"/>
      </w:pPr>
      <w:r>
        <w:rPr>
          <w:b/>
          <w:bCs/>
          <w:color w:val="8186EF"/>
          <w:sz w:val="16"/>
          <w:szCs w:val="16"/>
        </w:rPr>
        <w:t xml:space="preserve">4  </w:t>
      </w:r>
      <w:r>
        <w:rPr>
          <w:sz w:val="16"/>
          <w:szCs w:val="16"/>
        </w:rPr>
        <w:t xml:space="preserve">The book’s own table gives Operating expenses as the category of Lawsuit settlement.</w:t>
      </w:r>
    </w:p>
    <w:p>
      <w:pPr>
        <w:spacing w:after="18"/>
        <w:ind w:left="300" w:hanging="300"/>
      </w:pPr>
      <w:r>
        <w:rPr>
          <w:b/>
          <w:bCs/>
          <w:color w:val="8186EF"/>
          <w:sz w:val="16"/>
          <w:szCs w:val="16"/>
        </w:rPr>
        <w:t xml:space="preserve">5  </w:t>
      </w:r>
      <w:r>
        <w:rPr>
          <w:sz w:val="16"/>
          <w:szCs w:val="16"/>
        </w:rPr>
        <w:t xml:space="preserve">The book’s own table gives Other income and expense as the category of Interest expense.</w:t>
      </w:r>
    </w:p>
    <w:p>
      <w:pPr>
        <w:spacing w:after="18"/>
        <w:ind w:left="300" w:hanging="300"/>
      </w:pPr>
      <w:r>
        <w:rPr>
          <w:b/>
          <w:bCs/>
          <w:color w:val="8186EF"/>
          <w:sz w:val="16"/>
          <w:szCs w:val="16"/>
        </w:rPr>
        <w:t xml:space="preserve">6  </w:t>
      </w:r>
      <w:r>
        <w:rPr>
          <w:sz w:val="16"/>
          <w:szCs w:val="16"/>
        </w:rPr>
        <w:t xml:space="preserve">The book’s own table gives Other income and expense as the category of Gain on sale of equipment.</w:t>
      </w:r>
    </w:p>
    <w:p>
      <w:pPr>
        <w:spacing w:after="18"/>
        <w:ind w:left="300" w:hanging="300"/>
      </w:pPr>
      <w:r>
        <w:rPr>
          <w:b/>
          <w:bCs/>
          <w:color w:val="8186EF"/>
          <w:sz w:val="16"/>
          <w:szCs w:val="16"/>
        </w:rPr>
        <w:t xml:space="preserve">7  </w:t>
      </w:r>
      <w:r>
        <w:rPr>
          <w:sz w:val="16"/>
          <w:szCs w:val="16"/>
        </w:rPr>
        <w:t xml:space="preserve">The book’s own table gives Discontinued operations as the category of Loss on sale of the division.</w:t>
      </w:r>
    </w:p>
    <w:p>
      <w:pPr>
        <w:spacing w:after="18"/>
        <w:ind w:left="300" w:hanging="300"/>
      </w:pPr>
      <w:r>
        <w:rPr>
          <w:b/>
          <w:bCs/>
          <w:color w:val="8186EF"/>
          <w:sz w:val="16"/>
          <w:szCs w:val="16"/>
        </w:rPr>
        <w:t xml:space="preserve">8  </w:t>
      </w:r>
      <w:r>
        <w:rPr>
          <w:sz w:val="16"/>
          <w:szCs w:val="16"/>
        </w:rPr>
        <w:t xml:space="preserve">The book pairs Fire loss with “Operating expenses”.</w:t>
      </w:r>
    </w:p>
    <w:p>
      <w:pPr>
        <w:spacing w:after="18"/>
        <w:ind w:left="300" w:hanging="300"/>
      </w:pPr>
      <w:r>
        <w:rPr>
          <w:b/>
          <w:bCs/>
          <w:color w:val="8186EF"/>
          <w:sz w:val="16"/>
          <w:szCs w:val="16"/>
        </w:rPr>
        <w:t xml:space="preserve">9  </w:t>
      </w:r>
      <w:r>
        <w:rPr>
          <w:sz w:val="16"/>
          <w:szCs w:val="16"/>
        </w:rPr>
        <w:t xml:space="preserve">The book pairs Lawsuit settlement with “Operating expenses”, not with “Discontinued operations”.</w:t>
      </w:r>
    </w:p>
    <w:p>
      <w:pPr>
        <w:spacing w:after="18"/>
        <w:ind w:left="300" w:hanging="300"/>
      </w:pPr>
      <w:r>
        <w:rPr>
          <w:b/>
          <w:bCs/>
          <w:color w:val="8186EF"/>
          <w:sz w:val="16"/>
          <w:szCs w:val="16"/>
        </w:rPr>
        <w:t xml:space="preserve">10  </w:t>
      </w:r>
      <w:r>
        <w:rPr>
          <w:sz w:val="16"/>
          <w:szCs w:val="16"/>
        </w:rPr>
        <w:t xml:space="preserve">The book pairs Interest expense with “Other income and expense”.</w:t>
      </w:r>
    </w:p>
    <w:p>
      <w:pPr>
        <w:spacing w:after="18"/>
        <w:ind w:left="300" w:hanging="300"/>
      </w:pPr>
      <w:r>
        <w:rPr>
          <w:b/>
          <w:bCs/>
          <w:color w:val="8186EF"/>
          <w:sz w:val="16"/>
          <w:szCs w:val="16"/>
        </w:rPr>
        <w:t xml:space="preserve">11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12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13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14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15  </w:t>
      </w:r>
      <w:r>
        <w:rPr>
          <w:sz w:val="16"/>
          <w:szCs w:val="16"/>
        </w:rPr>
        <w:t xml:space="preserve">The book numbers “Comprehensive income” as section 3.4.</w:t>
      </w:r>
    </w:p>
    <w:p>
      <w:pPr>
        <w:spacing w:after="18"/>
        <w:ind w:left="300" w:hanging="300"/>
      </w:pPr>
      <w:r>
        <w:rPr>
          <w:b/>
          <w:bCs/>
          <w:color w:val="8186EF"/>
          <w:sz w:val="16"/>
          <w:szCs w:val="16"/>
        </w:rPr>
        <w:t xml:space="preserve">16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Pr>
        <w:spacing w:after="18"/>
        <w:ind w:left="300" w:hanging="300"/>
      </w:pPr>
      <w:r>
        <w:rPr>
          <w:b/>
          <w:bCs/>
          <w:color w:val="8186EF"/>
          <w:sz w:val="16"/>
          <w:szCs w:val="16"/>
        </w:rPr>
        <w:t xml:space="preserve">17  </w:t>
      </w:r>
      <w:r>
        <w:rPr>
          <w:sz w:val="16"/>
          <w:szCs w:val="16"/>
        </w:rPr>
        <w:t xml:space="preserve">Operating income is earned before interest, so it can be compared with interest expense. A is wrong: Net income is after interest has already been deducted. C is wrong: Comprehensive income includes OCI, which is not from main operations.</w:t>
      </w:r>
    </w:p>
    <w:p>
      <w:pPr>
        <w:spacing w:after="18"/>
        <w:ind w:left="300" w:hanging="300"/>
      </w:pPr>
      <w:r>
        <w:rPr>
          <w:b/>
          <w:bCs/>
          <w:color w:val="8186EF"/>
          <w:sz w:val="16"/>
          <w:szCs w:val="16"/>
        </w:rPr>
        <w:t xml:space="preserve">18  </w:t>
      </w:r>
      <w:r>
        <w:rPr>
          <w:sz w:val="16"/>
          <w:szCs w:val="16"/>
        </w:rPr>
        <w:t xml:space="preserve">The income statement covers a period. A is wrong: 'As of' is used for the balance sheet. B is wrong: 'At' a date is a balance sheet heading.</w:t>
      </w:r>
    </w:p>
    <w:p>
      <w:pPr>
        <w:spacing w:after="18"/>
        <w:ind w:left="300" w:hanging="300"/>
      </w:pPr>
      <w:r>
        <w:rPr>
          <w:b/>
          <w:bCs/>
          <w:color w:val="8186EF"/>
          <w:sz w:val="16"/>
          <w:szCs w:val="16"/>
        </w:rPr>
        <w:t xml:space="preserve">19  </w:t>
      </w:r>
      <w:r>
        <w:rPr>
          <w:sz w:val="16"/>
          <w:szCs w:val="16"/>
        </w:rPr>
        <w:t xml:space="preserve">Subtotals separate operating results from other items. A is wrong: Both layouts give the same net income. B is wrong: U.S. GAAP does not require one layout; SEC captions lead to multi-step.</w:t>
      </w:r>
    </w:p>
    <w:p>
      <w:pPr>
        <w:spacing w:after="18"/>
        <w:ind w:left="300" w:hanging="300"/>
      </w:pPr>
      <w:r>
        <w:rPr>
          <w:b/>
          <w:bCs/>
          <w:color w:val="8186EF"/>
          <w:sz w:val="16"/>
          <w:szCs w:val="16"/>
        </w:rPr>
        <w:t xml:space="preserve">20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3.2 · Building the multi-step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Gross profit is net sales minus cost of goods sold. It shows how much the company earns on what it sells before its other costs. Orontes's gross profit is $14,700,000, which is 35% of net sales.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Net income plus this year's OCI. A is wrong: This leaves out OCI. C is wrong: This adds the opening AOCI instead of this year's OCI.</w:t>
      </w:r>
    </w:p>
    <w:p>
      <w:pPr>
        <w:spacing w:after="18"/>
        <w:ind w:left="300" w:hanging="300"/>
      </w:pPr>
      <w:r>
        <w:rPr>
          <w:b/>
          <w:bCs/>
          <w:color w:val="8186EF"/>
          <w:sz w:val="16"/>
          <w:szCs w:val="16"/>
        </w:rPr>
        <w:t xml:space="preserve">2  </w:t>
      </w:r>
      <w:r>
        <w:rPr>
          <w:sz w:val="16"/>
          <w:szCs w:val="16"/>
        </w:rPr>
        <w:t xml:space="preserve">ASU 2011-05 requires one or two statements. A is wrong: Showing OCI only in equity is no longer allowed. C is wrong: OCI must be on the face of a statement.</w:t>
      </w:r>
    </w:p>
    <w:p>
      <w:pPr>
        <w:spacing w:after="18"/>
        <w:ind w:left="300" w:hanging="300"/>
      </w:pPr>
      <w:r>
        <w:rPr>
          <w:b/>
          <w:bCs/>
          <w:color w:val="8186EF"/>
          <w:sz w:val="16"/>
          <w:szCs w:val="16"/>
        </w:rPr>
        <w:t xml:space="preserve">3  </w:t>
      </w:r>
      <w:r>
        <w:rPr>
          <w:sz w:val="16"/>
          <w:szCs w:val="16"/>
        </w:rPr>
        <w:t xml:space="preserve">The book’s own table gives 1,240 − 520 − 300 = 420 as the answer of Operating income.</w:t>
      </w:r>
    </w:p>
    <w:p>
      <w:pPr>
        <w:spacing w:after="18"/>
        <w:ind w:left="300" w:hanging="300"/>
      </w:pPr>
      <w:r>
        <w:rPr>
          <w:b/>
          <w:bCs/>
          <w:color w:val="8186EF"/>
          <w:sz w:val="16"/>
          <w:szCs w:val="16"/>
        </w:rPr>
        <w:t xml:space="preserve">4  </w:t>
      </w:r>
      <w:r>
        <w:rPr>
          <w:sz w:val="16"/>
          <w:szCs w:val="16"/>
        </w:rPr>
        <w:t xml:space="preserve">The book’s own table gives 420 − 90 = 330, the same as in Chapter 1 as the answer of Net income.</w:t>
      </w:r>
    </w:p>
    <w:p>
      <w:pPr>
        <w:spacing w:after="18"/>
        <w:ind w:left="300" w:hanging="300"/>
      </w:pPr>
      <w:r>
        <w:rPr>
          <w:b/>
          <w:bCs/>
          <w:color w:val="8186EF"/>
          <w:sz w:val="16"/>
          <w:szCs w:val="16"/>
        </w:rPr>
        <w:t xml:space="preserve">5  </w:t>
      </w:r>
      <w:r>
        <w:rPr>
          <w:sz w:val="16"/>
          <w:szCs w:val="16"/>
        </w:rPr>
        <w:t xml:space="preserve">The book’s own table gives 1,240 ÷ 3,100 = 40% as the answer of Gross profit percentage.</w:t>
      </w:r>
    </w:p>
    <w:p>
      <w:pPr>
        <w:spacing w:after="18"/>
        <w:ind w:left="300" w:hanging="300"/>
      </w:pPr>
      <w:r>
        <w:rPr>
          <w:b/>
          <w:bCs/>
          <w:color w:val="8186EF"/>
          <w:sz w:val="16"/>
          <w:szCs w:val="16"/>
        </w:rPr>
        <w:t xml:space="preserve">6  </w:t>
      </w:r>
      <w:r>
        <w:rPr>
          <w:sz w:val="16"/>
          <w:szCs w:val="16"/>
        </w:rPr>
        <w:t xml:space="preserve">The book pairs Operating income with “1,240 − 520 − 300 = 420”.</w:t>
      </w:r>
    </w:p>
    <w:p>
      <w:pPr>
        <w:spacing w:after="18"/>
        <w:ind w:left="300" w:hanging="300"/>
      </w:pPr>
      <w:r>
        <w:rPr>
          <w:b/>
          <w:bCs/>
          <w:color w:val="8186EF"/>
          <w:sz w:val="16"/>
          <w:szCs w:val="16"/>
        </w:rPr>
        <w:t xml:space="preserve">7  </w:t>
      </w:r>
      <w:r>
        <w:rPr>
          <w:sz w:val="16"/>
          <w:szCs w:val="16"/>
        </w:rPr>
        <w:t xml:space="preserve">The book pairs Net income with “420 − 90 = 330, the same as in Chapter 1”, not with “1,240 − 520 − 300 = 420”.</w:t>
      </w:r>
    </w:p>
    <w:p>
      <w:pPr>
        <w:spacing w:after="18"/>
        <w:ind w:left="300" w:hanging="300"/>
      </w:pPr>
      <w:r>
        <w:rPr>
          <w:b/>
          <w:bCs/>
          <w:color w:val="8186EF"/>
          <w:sz w:val="16"/>
          <w:szCs w:val="16"/>
        </w:rPr>
        <w:t xml:space="preserve">8  </w:t>
      </w:r>
      <w:r>
        <w:rPr>
          <w:sz w:val="16"/>
          <w:szCs w:val="16"/>
        </w:rPr>
        <w:t xml:space="preserve">The book pairs Gross profit percentage with “1,240 ÷ 3,100 = 40%”.</w:t>
      </w:r>
    </w:p>
    <w:p>
      <w:pPr>
        <w:spacing w:after="18"/>
        <w:ind w:left="300" w:hanging="300"/>
      </w:pPr>
      <w:r>
        <w:rPr>
          <w:b/>
          <w:bCs/>
          <w:color w:val="8186EF"/>
          <w:sz w:val="16"/>
          <w:szCs w:val="16"/>
        </w:rPr>
        <w:t xml:space="preserve">9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10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11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12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13  </w:t>
      </w:r>
      <w:r>
        <w:rPr>
          <w:sz w:val="16"/>
          <w:szCs w:val="16"/>
        </w:rPr>
        <w:t xml:space="preserve">The book numbers “Comprehensive income” as section 3.4.</w:t>
      </w:r>
    </w:p>
    <w:p>
      <w:pPr>
        <w:spacing w:after="18"/>
        <w:ind w:left="300" w:hanging="300"/>
      </w:pPr>
      <w:r>
        <w:rPr>
          <w:b/>
          <w:bCs/>
          <w:color w:val="8186EF"/>
          <w:sz w:val="16"/>
          <w:szCs w:val="16"/>
        </w:rPr>
        <w:t xml:space="preserve">14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15  </w:t>
      </w:r>
      <w:r>
        <w:rPr>
          <w:sz w:val="16"/>
          <w:szCs w:val="16"/>
        </w:rPr>
        <w:t xml:space="preserve">EPS is required for income from continuing operations and net income. A is wrong: EPS is not shown for these subtotals. B is wrong: EPS is not required for comprehensive income.</w:t>
      </w:r>
    </w:p>
    <w:p>
      <w:pPr>
        <w:spacing w:after="18"/>
        <w:ind w:left="300" w:hanging="300"/>
      </w:pPr>
      <w:r>
        <w:rPr>
          <w:b/>
          <w:bCs/>
          <w:color w:val="8186EF"/>
          <w:sz w:val="16"/>
          <w:szCs w:val="16"/>
        </w:rPr>
        <w:t xml:space="preserve">16  </w:t>
      </w:r>
      <w:r>
        <w:rPr>
          <w:sz w:val="16"/>
          <w:szCs w:val="16"/>
        </w:rPr>
        <w:t xml:space="preserve">Unusual or infrequent items stay in continuing operations, before tax. A is wrong: Only discontinued operations are shown net of tax there. B is wrong: Extraordinary items were removed.</w:t>
      </w:r>
    </w:p>
    <w:p>
      <w:pPr>
        <w:spacing w:after="18"/>
        <w:ind w:left="300" w:hanging="300"/>
      </w:pPr>
      <w:r>
        <w:rPr>
          <w:b/>
          <w:bCs/>
          <w:color w:val="8186EF"/>
          <w:sz w:val="16"/>
          <w:szCs w:val="16"/>
        </w:rPr>
        <w:t xml:space="preserve">17  </w:t>
      </w:r>
      <w:r>
        <w:rPr>
          <w:sz w:val="16"/>
          <w:szCs w:val="16"/>
        </w:rPr>
        <w:t xml:space="preserve">Proceeds of $21,000 minus the carrying amount of $18,000; gains are shown net. A is wrong: Selling equipment is not revenue. C is wrong: Gains are shown net, not as the full proceeds.</w:t>
      </w:r>
    </w:p>
    <w:p>
      <w:pPr>
        <w:spacing w:after="18"/>
        <w:ind w:left="300" w:hanging="300"/>
      </w:pPr>
      <w:r>
        <w:rPr>
          <w:b/>
          <w:bCs/>
          <w:color w:val="8186EF"/>
          <w:sz w:val="16"/>
          <w:szCs w:val="16"/>
        </w:rPr>
        <w:t xml:space="preserve">18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The book’s own table gives 1,240 − 520 − 300 = 420 as the answer of Operating income.</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3.3 · Unusual items and discontinued operations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Some items need special attention because they may not happen again. U.S. GAAP no longer has extraordinary items; the FASB removed them in 2015. An unusual or infrequent item, such as a large fire loss, is shown as a separate line within continuing operations, before tax. It is never shown net of tax.</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2  </w:t>
      </w:r>
      <w:r>
        <w:rPr>
          <w:sz w:val="16"/>
          <w:szCs w:val="16"/>
        </w:rPr>
        <w:t xml:space="preserve">The book’s own table gives (420,000) as the before tax of Loss from operations of the frozen-foods business.</w:t>
      </w:r>
    </w:p>
    <w:p>
      <w:pPr>
        <w:spacing w:after="18"/>
        <w:ind w:left="300" w:hanging="300"/>
      </w:pPr>
      <w:r>
        <w:rPr>
          <w:b/>
          <w:bCs/>
          <w:color w:val="8186EF"/>
          <w:sz w:val="16"/>
          <w:szCs w:val="16"/>
        </w:rPr>
        <w:t xml:space="preserve">3  </w:t>
      </w:r>
      <w:r>
        <w:rPr>
          <w:sz w:val="16"/>
          <w:szCs w:val="16"/>
        </w:rPr>
        <w:t xml:space="preserve">The book’s own table gives (180,000) as the before tax of Loss on disposal of the business.</w:t>
      </w:r>
    </w:p>
    <w:p>
      <w:pPr>
        <w:spacing w:after="18"/>
        <w:ind w:left="300" w:hanging="300"/>
      </w:pPr>
      <w:r>
        <w:rPr>
          <w:b/>
          <w:bCs/>
          <w:color w:val="8186EF"/>
          <w:sz w:val="16"/>
          <w:szCs w:val="16"/>
        </w:rPr>
        <w:t xml:space="preserve">4  </w:t>
      </w:r>
      <w:r>
        <w:rPr>
          <w:sz w:val="16"/>
          <w:szCs w:val="16"/>
        </w:rPr>
        <w:t xml:space="preserve">The book’s own table gives (600,000) as the before tax of Loss from discontinued operations.</w:t>
      </w:r>
    </w:p>
    <w:p>
      <w:pPr>
        <w:spacing w:after="18"/>
        <w:ind w:left="300" w:hanging="300"/>
      </w:pPr>
      <w:r>
        <w:rPr>
          <w:b/>
          <w:bCs/>
          <w:color w:val="8186EF"/>
          <w:sz w:val="16"/>
          <w:szCs w:val="16"/>
        </w:rPr>
        <w:t xml:space="preserve">5  </w:t>
      </w:r>
      <w:r>
        <w:rPr>
          <w:sz w:val="16"/>
          <w:szCs w:val="16"/>
        </w:rPr>
        <w:t xml:space="preserve">The book’s own table gives 105,000 as the tax benefit of Loss from operations of the frozen-foods business.</w:t>
      </w:r>
    </w:p>
    <w:p>
      <w:pPr>
        <w:spacing w:after="18"/>
        <w:ind w:left="300" w:hanging="300"/>
      </w:pPr>
      <w:r>
        <w:rPr>
          <w:b/>
          <w:bCs/>
          <w:color w:val="8186EF"/>
          <w:sz w:val="16"/>
          <w:szCs w:val="16"/>
        </w:rPr>
        <w:t xml:space="preserve">6  </w:t>
      </w:r>
      <w:r>
        <w:rPr>
          <w:sz w:val="16"/>
          <w:szCs w:val="16"/>
        </w:rPr>
        <w:t xml:space="preserve">The book’s own table gives 45,000 as the tax benefit of Loss on disposal of the business.</w:t>
      </w:r>
    </w:p>
    <w:p>
      <w:pPr>
        <w:spacing w:after="18"/>
        <w:ind w:left="300" w:hanging="300"/>
      </w:pPr>
      <w:r>
        <w:rPr>
          <w:b/>
          <w:bCs/>
          <w:color w:val="8186EF"/>
          <w:sz w:val="16"/>
          <w:szCs w:val="16"/>
        </w:rPr>
        <w:t xml:space="preserve">7  </w:t>
      </w:r>
      <w:r>
        <w:rPr>
          <w:sz w:val="16"/>
          <w:szCs w:val="16"/>
        </w:rPr>
        <w:t xml:space="preserve">The book’s own table gives 150,000 as the tax benefit of Loss from discontinued operations.</w:t>
      </w:r>
    </w:p>
    <w:p>
      <w:pPr>
        <w:spacing w:after="18"/>
        <w:ind w:left="300" w:hanging="300"/>
      </w:pPr>
      <w:r>
        <w:rPr>
          <w:b/>
          <w:bCs/>
          <w:color w:val="8186EF"/>
          <w:sz w:val="16"/>
          <w:szCs w:val="16"/>
        </w:rPr>
        <w:t xml:space="preserve">8  </w:t>
      </w:r>
      <w:r>
        <w:rPr>
          <w:sz w:val="16"/>
          <w:szCs w:val="16"/>
        </w:rPr>
        <w:t xml:space="preserve">The book’s own table gives (315,000) as the net of tax of Loss from operations of the frozen-foods business.</w:t>
      </w:r>
    </w:p>
    <w:p>
      <w:pPr>
        <w:spacing w:after="18"/>
        <w:ind w:left="300" w:hanging="300"/>
      </w:pPr>
      <w:r>
        <w:rPr>
          <w:b/>
          <w:bCs/>
          <w:color w:val="8186EF"/>
          <w:sz w:val="16"/>
          <w:szCs w:val="16"/>
        </w:rPr>
        <w:t xml:space="preserve">9  </w:t>
      </w:r>
      <w:r>
        <w:rPr>
          <w:sz w:val="16"/>
          <w:szCs w:val="16"/>
        </w:rPr>
        <w:t xml:space="preserve">The book’s own table gives (135,000) as the net of tax of Loss on disposal of the business.</w:t>
      </w:r>
    </w:p>
    <w:p>
      <w:pPr>
        <w:spacing w:after="18"/>
        <w:ind w:left="300" w:hanging="300"/>
      </w:pPr>
      <w:r>
        <w:rPr>
          <w:b/>
          <w:bCs/>
          <w:color w:val="8186EF"/>
          <w:sz w:val="16"/>
          <w:szCs w:val="16"/>
        </w:rPr>
        <w:t xml:space="preserve">10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11  </w:t>
      </w:r>
      <w:r>
        <w:rPr>
          <w:sz w:val="16"/>
          <w:szCs w:val="16"/>
        </w:rPr>
        <w:t xml:space="preserve">The book’s own table gives (420,000) as the before tax of Loss from operations of the frozen-foods business.</w:t>
      </w:r>
    </w:p>
    <w:p>
      <w:pPr>
        <w:spacing w:after="18"/>
        <w:ind w:left="300" w:hanging="300"/>
      </w:pPr>
      <w:r>
        <w:rPr>
          <w:b/>
          <w:bCs/>
          <w:color w:val="8186EF"/>
          <w:sz w:val="16"/>
          <w:szCs w:val="16"/>
        </w:rPr>
        <w:t xml:space="preserve">12  </w:t>
      </w:r>
      <w:r>
        <w:rPr>
          <w:sz w:val="16"/>
          <w:szCs w:val="16"/>
        </w:rPr>
        <w:t xml:space="preserve">The book’s own table gives (180,000) as the before tax of Loss on disposal of the business.</w:t>
      </w:r>
    </w:p>
    <w:p>
      <w:pPr>
        <w:spacing w:after="18"/>
        <w:ind w:left="300" w:hanging="300"/>
      </w:pPr>
      <w:r>
        <w:rPr>
          <w:b/>
          <w:bCs/>
          <w:color w:val="8186EF"/>
          <w:sz w:val="16"/>
          <w:szCs w:val="16"/>
        </w:rPr>
        <w:t xml:space="preserve">13  </w:t>
      </w:r>
      <w:r>
        <w:rPr>
          <w:sz w:val="16"/>
          <w:szCs w:val="16"/>
        </w:rPr>
        <w:t xml:space="preserve">The book’s own table gives (600,000) as the before tax of Loss from discontinued operations.</w:t>
      </w:r>
    </w:p>
    <w:p>
      <w:pPr>
        <w:spacing w:after="18"/>
        <w:ind w:left="300" w:hanging="300"/>
      </w:pPr>
      <w:r>
        <w:rPr>
          <w:b/>
          <w:bCs/>
          <w:color w:val="8186EF"/>
          <w:sz w:val="16"/>
          <w:szCs w:val="16"/>
        </w:rPr>
        <w:t xml:space="preserve">14  </w:t>
      </w:r>
      <w:r>
        <w:rPr>
          <w:sz w:val="16"/>
          <w:szCs w:val="16"/>
        </w:rPr>
        <w:t xml:space="preserve">Selling equipment is peripheral, so the net difference is a gain. A is wrong: Revenue comes from the main activities, not from selling equipment. B is wrong: The van is not inventory.</w:t>
      </w:r>
    </w:p>
    <w:p>
      <w:pPr>
        <w:spacing w:after="18"/>
        <w:ind w:left="300" w:hanging="300"/>
      </w:pPr>
      <w:r>
        <w:rPr>
          <w:b/>
          <w:bCs/>
          <w:color w:val="8186EF"/>
          <w:sz w:val="16"/>
          <w:szCs w:val="16"/>
        </w:rPr>
        <w:t xml:space="preserve">15  </w:t>
      </w:r>
      <w:r>
        <w:rPr>
          <w:sz w:val="16"/>
          <w:szCs w:val="16"/>
        </w:rPr>
        <w:t xml:space="preserve">Net income plus this year's OCI. A is wrong: This leaves out OCI. C is wrong: This adds the opening AOCI instead of this year's OCI.</w:t>
      </w:r>
    </w:p>
    <w:p>
      <w:pPr>
        <w:spacing w:after="18"/>
        <w:ind w:left="300" w:hanging="300"/>
      </w:pPr>
      <w:r>
        <w:rPr>
          <w:b/>
          <w:bCs/>
          <w:color w:val="8186EF"/>
          <w:sz w:val="16"/>
          <w:szCs w:val="16"/>
        </w:rPr>
        <w:t xml:space="preserve">16  </w:t>
      </w:r>
      <w:r>
        <w:rPr>
          <w:sz w:val="16"/>
          <w:szCs w:val="16"/>
        </w:rPr>
        <w:t xml:space="preserve">ASU 2011-05 requires one or two statements. A is wrong: Showing OCI only in equity is no longer allowed. C is wrong: OCI must be on the face of a statement.</w:t>
      </w:r>
    </w:p>
    <w:p>
      <w:pPr>
        <w:spacing w:after="18"/>
        <w:ind w:left="300" w:hanging="300"/>
      </w:pPr>
      <w:r>
        <w:rPr>
          <w:b/>
          <w:bCs/>
          <w:color w:val="8186EF"/>
          <w:sz w:val="16"/>
          <w:szCs w:val="16"/>
        </w:rPr>
        <w:t xml:space="preserve">17  </w:t>
      </w:r>
      <w:r>
        <w:rPr>
          <w:sz w:val="16"/>
          <w:szCs w:val="16"/>
        </w:rPr>
        <w:t xml:space="preserve">The gain moves from AOCI into net income; without the adjustment, comprehensive income would include it twice. A is wrong: The gain moves the other way: from OCI to net income. B is wrong: A realized gain is not deferred.</w:t>
      </w:r>
    </w:p>
    <w:p>
      <w:pPr>
        <w:spacing w:after="18"/>
        <w:ind w:left="300" w:hanging="300"/>
      </w:pPr>
      <w:r>
        <w:rPr>
          <w:b/>
          <w:bCs/>
          <w:color w:val="8186EF"/>
          <w:sz w:val="16"/>
          <w:szCs w:val="16"/>
        </w:rPr>
        <w:t xml:space="preserve">18  </w:t>
      </w:r>
      <w:r>
        <w:rPr>
          <w:sz w:val="16"/>
          <w:szCs w:val="16"/>
        </w:rPr>
        <w:t xml:space="preserve">Unrecognized increases in value are one limitation of the income statement. A is wrong: U.S. GAAP does not recognize this increase. B is wrong: Revaluation surplus in OCI is an IFRS option only.</w:t>
      </w:r>
    </w:p>
    <w:p>
      <w:pPr>
        <w:spacing w:after="18"/>
        <w:ind w:left="300" w:hanging="300"/>
      </w:pPr>
      <w:r>
        <w:rPr>
          <w:b/>
          <w:bCs/>
          <w:color w:val="8186EF"/>
          <w:sz w:val="16"/>
          <w:szCs w:val="16"/>
        </w:rPr>
        <w:t xml:space="preserve">19  </w:t>
      </w:r>
      <w:r>
        <w:rPr>
          <w:sz w:val="16"/>
          <w:szCs w:val="16"/>
        </w:rPr>
        <w:t xml:space="preserve">Gross profit of $14,700,000 minus operating expenses of $10,524,000. A is wrong: This also deducts interest expense, which is below operating income. C is wrong: This leaves out the impairment losses, which are operating expenses.</w:t>
      </w:r>
    </w:p>
    <w:p>
      <w:pPr>
        <w:spacing w:after="18"/>
        <w:ind w:left="300" w:hanging="300"/>
      </w:pPr>
      <w:r>
        <w:rPr>
          <w:b/>
          <w:bCs/>
          <w:color w:val="8186EF"/>
          <w:sz w:val="16"/>
          <w:szCs w:val="16"/>
        </w:rPr>
        <w:t xml:space="preserve">20  </w:t>
      </w:r>
      <w:r>
        <w:rPr>
          <w:sz w:val="16"/>
          <w:szCs w:val="16"/>
        </w:rPr>
        <w:t xml:space="preserve">The income statement covers a period; the balance sheet is at one date. A is wrong: The balance sheet shows one date, not a period. C is wrong: The notes explain the statements; they do not report performance.</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3.4 · Comprehensive income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Some changes in value do not go through net income. U.S. GAAP sends them to other comprehensive income (OCI) until they are realized. Comprehensive income is net income plus OCI for the period.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book’s own table pairs Unrealized gains and losses on debt securities (AFS / FVOCI) with “OCI; reclassified to net income on sale”.</w:t>
      </w:r>
    </w:p>
    <w:p>
      <w:pPr>
        <w:spacing w:after="18"/>
        <w:ind w:left="300" w:hanging="300"/>
      </w:pPr>
      <w:r>
        <w:rPr>
          <w:b/>
          <w:bCs/>
          <w:color w:val="8186EF"/>
          <w:sz w:val="16"/>
          <w:szCs w:val="16"/>
        </w:rPr>
        <w:t xml:space="preserve">2  </w:t>
      </w:r>
      <w:r>
        <w:rPr>
          <w:sz w:val="16"/>
          <w:szCs w:val="16"/>
        </w:rPr>
        <w:t xml:space="preserve">The book’s own table pairs Changes in fair value of equity securities with “Net income (no OCI option)”.</w:t>
      </w:r>
    </w:p>
    <w:p>
      <w:pPr>
        <w:spacing w:after="18"/>
        <w:ind w:left="300" w:hanging="300"/>
      </w:pPr>
      <w:r>
        <w:rPr>
          <w:b/>
          <w:bCs/>
          <w:color w:val="8186EF"/>
          <w:sz w:val="16"/>
          <w:szCs w:val="16"/>
        </w:rPr>
        <w:t xml:space="preserve">3  </w:t>
      </w:r>
      <w:r>
        <w:rPr>
          <w:sz w:val="16"/>
          <w:szCs w:val="16"/>
        </w:rPr>
        <w:t xml:space="preserve">The book’s own table pairs Foreign-currency translation adjustments with “OCI; reclassified when the foreign operation is sold”.</w:t>
      </w:r>
    </w:p>
    <w:p>
      <w:pPr>
        <w:spacing w:after="18"/>
        <w:ind w:left="300" w:hanging="300"/>
      </w:pPr>
      <w:r>
        <w:rPr>
          <w:b/>
          <w:bCs/>
          <w:color w:val="8186EF"/>
          <w:sz w:val="16"/>
          <w:szCs w:val="16"/>
        </w:rPr>
        <w:t xml:space="preserve">4  </w:t>
      </w:r>
      <w:r>
        <w:rPr>
          <w:sz w:val="16"/>
          <w:szCs w:val="16"/>
        </w:rPr>
        <w:t xml:space="preserve">The book’s own table pairs Pension gains, losses and prior service cost with “OCI; amortized into net income later”.</w:t>
      </w:r>
    </w:p>
    <w:p>
      <w:pPr>
        <w:spacing w:after="18"/>
        <w:ind w:left="300" w:hanging="300"/>
      </w:pPr>
      <w:r>
        <w:rPr>
          <w:b/>
          <w:bCs/>
          <w:color w:val="8186EF"/>
          <w:sz w:val="16"/>
          <w:szCs w:val="16"/>
        </w:rPr>
        <w:t xml:space="preserve">5  </w:t>
      </w:r>
      <w:r>
        <w:rPr>
          <w:sz w:val="16"/>
          <w:szCs w:val="16"/>
        </w:rPr>
        <w:t xml:space="preserve">The book’s own table pairs Effective part of cash-flow hedges with “OCI; reclassified when the hedged item affects income”.</w:t>
      </w:r>
    </w:p>
    <w:p>
      <w:pPr>
        <w:spacing w:after="18"/>
        <w:ind w:left="300" w:hanging="300"/>
      </w:pPr>
      <w:r>
        <w:rPr>
          <w:b/>
          <w:bCs/>
          <w:color w:val="8186EF"/>
          <w:sz w:val="16"/>
          <w:szCs w:val="16"/>
        </w:rPr>
        <w:t xml:space="preserve">6  </w:t>
      </w:r>
      <w:r>
        <w:rPr>
          <w:sz w:val="16"/>
          <w:szCs w:val="16"/>
        </w:rPr>
        <w:t xml:space="preserve">The book’s own table pairs Revaluation of PP&amp;E with “Not allowed”.</w:t>
      </w:r>
    </w:p>
    <w:p>
      <w:pPr>
        <w:spacing w:after="18"/>
        <w:ind w:left="300" w:hanging="300"/>
      </w:pPr>
      <w:r>
        <w:rPr>
          <w:b/>
          <w:bCs/>
          <w:color w:val="8186EF"/>
          <w:sz w:val="16"/>
          <w:szCs w:val="16"/>
        </w:rPr>
        <w:t xml:space="preserve">7  </w:t>
      </w:r>
      <w:r>
        <w:rPr>
          <w:sz w:val="16"/>
          <w:szCs w:val="16"/>
        </w:rPr>
        <w:t xml:space="preserve">The book’s own table gives OCI; reclassified on sale as the IFRS of Unrealized gains and losses on debt securities (AFS / FVOCI).</w:t>
      </w:r>
    </w:p>
    <w:p>
      <w:pPr>
        <w:spacing w:after="18"/>
        <w:ind w:left="300" w:hanging="300"/>
      </w:pPr>
      <w:r>
        <w:rPr>
          <w:b/>
          <w:bCs/>
          <w:color w:val="8186EF"/>
          <w:sz w:val="16"/>
          <w:szCs w:val="16"/>
        </w:rPr>
        <w:t xml:space="preserve">8  </w:t>
      </w:r>
      <w:r>
        <w:rPr>
          <w:sz w:val="16"/>
          <w:szCs w:val="16"/>
        </w:rPr>
        <w:t xml:space="preserve">The book pairs Unrealized gains and losses on debt securities (AFS / FVOCI) with “OCI; reclassified to net income on sale”.</w:t>
      </w:r>
    </w:p>
    <w:p>
      <w:pPr>
        <w:spacing w:after="18"/>
        <w:ind w:left="300" w:hanging="300"/>
      </w:pPr>
      <w:r>
        <w:rPr>
          <w:b/>
          <w:bCs/>
          <w:color w:val="8186EF"/>
          <w:sz w:val="16"/>
          <w:szCs w:val="16"/>
        </w:rPr>
        <w:t xml:space="preserve">9  </w:t>
      </w:r>
      <w:r>
        <w:rPr>
          <w:sz w:val="16"/>
          <w:szCs w:val="16"/>
        </w:rPr>
        <w:t xml:space="preserve">The book’s own table pairs Unrealized gains and losses on debt securities (AFS / FVOCI) with “OCI; reclassified to net income on sale”.</w:t>
      </w:r>
    </w:p>
    <w:p>
      <w:pPr>
        <w:spacing w:after="18"/>
        <w:ind w:left="300" w:hanging="300"/>
      </w:pPr>
      <w:r>
        <w:rPr>
          <w:b/>
          <w:bCs/>
          <w:color w:val="8186EF"/>
          <w:sz w:val="16"/>
          <w:szCs w:val="16"/>
        </w:rPr>
        <w:t xml:space="preserve">10  </w:t>
      </w:r>
      <w:r>
        <w:rPr>
          <w:sz w:val="16"/>
          <w:szCs w:val="16"/>
        </w:rPr>
        <w:t xml:space="preserve">The book’s own table pairs Changes in fair value of equity securities with “Net income (no OCI option)”.</w:t>
      </w:r>
    </w:p>
    <w:p>
      <w:pPr>
        <w:spacing w:after="18"/>
        <w:ind w:left="300" w:hanging="300"/>
      </w:pPr>
      <w:r>
        <w:rPr>
          <w:b/>
          <w:bCs/>
          <w:color w:val="8186EF"/>
          <w:sz w:val="16"/>
          <w:szCs w:val="16"/>
        </w:rPr>
        <w:t xml:space="preserve">11  </w:t>
      </w:r>
      <w:r>
        <w:rPr>
          <w:sz w:val="16"/>
          <w:szCs w:val="16"/>
        </w:rPr>
        <w:t xml:space="preserve">The book’s own table pairs Foreign-currency translation adjustments with “OCI; reclassified when the foreign operation is sold”.</w:t>
      </w:r>
    </w:p>
    <w:p>
      <w:pPr>
        <w:spacing w:after="18"/>
        <w:ind w:left="300" w:hanging="300"/>
      </w:pPr>
      <w:r>
        <w:rPr>
          <w:b/>
          <w:bCs/>
          <w:color w:val="8186EF"/>
          <w:sz w:val="16"/>
          <w:szCs w:val="16"/>
        </w:rPr>
        <w:t xml:space="preserve">12  </w:t>
      </w:r>
      <w:r>
        <w:rPr>
          <w:sz w:val="16"/>
          <w:szCs w:val="16"/>
        </w:rPr>
        <w:t xml:space="preserve">The book’s own table pairs Pension gains, losses and prior service cost with “OCI; amortized into net income later”.</w:t>
      </w:r>
    </w:p>
    <w:p>
      <w:pPr>
        <w:spacing w:after="18"/>
        <w:ind w:left="300" w:hanging="300"/>
      </w:pPr>
      <w:r>
        <w:rPr>
          <w:b/>
          <w:bCs/>
          <w:color w:val="8186EF"/>
          <w:sz w:val="16"/>
          <w:szCs w:val="16"/>
        </w:rPr>
        <w:t xml:space="preserve">13  </w:t>
      </w:r>
      <w:r>
        <w:rPr>
          <w:sz w:val="16"/>
          <w:szCs w:val="16"/>
        </w:rPr>
        <w:t xml:space="preserve">The book pairs Unrealized gains and losses on debt securities (AFS / FVOCI) with “OCI; reclassified on sale”.</w:t>
      </w:r>
    </w:p>
    <w:p>
      <w:pPr>
        <w:spacing w:after="18"/>
        <w:ind w:left="300" w:hanging="300"/>
      </w:pPr>
      <w:r>
        <w:rPr>
          <w:b/>
          <w:bCs/>
          <w:color w:val="8186EF"/>
          <w:sz w:val="16"/>
          <w:szCs w:val="16"/>
        </w:rPr>
        <w:t xml:space="preserve">14  </w:t>
      </w:r>
      <w:r>
        <w:rPr>
          <w:sz w:val="16"/>
          <w:szCs w:val="16"/>
        </w:rPr>
        <w:t xml:space="preserve">The book pairs Changes in fair value of equity securities with “Net income, or OCI by election (never reclassified)”, not with “Revaluation surplus in OCI; never reclassified”.</w:t>
      </w:r>
    </w:p>
    <w:p>
      <w:pPr>
        <w:spacing w:after="18"/>
        <w:ind w:left="300" w:hanging="300"/>
      </w:pPr>
      <w:r>
        <w:rPr>
          <w:b/>
          <w:bCs/>
          <w:color w:val="8186EF"/>
          <w:sz w:val="16"/>
          <w:szCs w:val="16"/>
        </w:rPr>
        <w:t xml:space="preserve">15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16  </w:t>
      </w:r>
      <w:r>
        <w:rPr>
          <w:sz w:val="16"/>
          <w:szCs w:val="16"/>
        </w:rPr>
        <w:t xml:space="preserve">Operating income plus other income and expense. A is wrong: This is after tax. B is wrong: This leaves out equity-method income.</w:t>
      </w:r>
    </w:p>
    <w:p>
      <w:pPr>
        <w:spacing w:after="18"/>
        <w:ind w:left="300" w:hanging="300"/>
      </w:pPr>
      <w:r>
        <w:rPr>
          <w:b/>
          <w:bCs/>
          <w:color w:val="8186EF"/>
          <w:sz w:val="16"/>
          <w:szCs w:val="16"/>
        </w:rPr>
        <w:t xml:space="preserve">17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Net income depends on many estimates: useful lives, credit losses, impairment tests and warranty costs. Different companies also choose different methods, such as FIFO or LIFO for inventory. Two similar companies can therefore report different profits from the same activity.</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2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3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4  </w:t>
      </w:r>
      <w:r>
        <w:rPr>
          <w:sz w:val="16"/>
          <w:szCs w:val="16"/>
        </w:rPr>
        <w:t xml:space="preserve">The book numbers “Comprehensive income” as section 3.4.</w:t>
      </w:r>
    </w:p>
    <w:p>
      <w:pPr>
        <w:spacing w:after="18"/>
        <w:ind w:left="300" w:hanging="300"/>
      </w:pPr>
      <w:r>
        <w:rPr>
          <w:b/>
          <w:bCs/>
          <w:color w:val="8186EF"/>
          <w:sz w:val="16"/>
          <w:szCs w:val="16"/>
        </w:rPr>
        <w:t xml:space="preserve">5  </w:t>
      </w:r>
      <w:r>
        <w:rPr>
          <w:sz w:val="16"/>
          <w:szCs w:val="16"/>
        </w:rPr>
        <w:t xml:space="preserve">The book numbers “Limitations and links to the other statements” as section 3.5.</w:t>
      </w:r>
    </w:p>
    <w:p>
      <w:pPr>
        <w:spacing w:after="18"/>
        <w:ind w:left="300" w:hanging="300"/>
      </w:pPr>
      <w:r>
        <w:rPr>
          <w:b/>
          <w:bCs/>
          <w:color w:val="8186EF"/>
          <w:sz w:val="16"/>
          <w:szCs w:val="16"/>
        </w:rPr>
        <w:t xml:space="preserve">6  </w:t>
      </w:r>
      <w:r>
        <w:rPr>
          <w:sz w:val="16"/>
          <w:szCs w:val="16"/>
        </w:rPr>
        <w:t xml:space="preserve">The book’s own table gives Operating expenses as the category of Fire loss.</w:t>
      </w:r>
    </w:p>
    <w:p>
      <w:pPr>
        <w:spacing w:after="18"/>
        <w:ind w:left="300" w:hanging="300"/>
      </w:pPr>
      <w:r>
        <w:rPr>
          <w:b/>
          <w:bCs/>
          <w:color w:val="8186EF"/>
          <w:sz w:val="16"/>
          <w:szCs w:val="16"/>
        </w:rPr>
        <w:t xml:space="preserve">7  </w:t>
      </w:r>
      <w:r>
        <w:rPr>
          <w:sz w:val="16"/>
          <w:szCs w:val="16"/>
        </w:rPr>
        <w:t xml:space="preserve">The book’s own table gives Operating expenses as the category of Lawsuit settlement.</w:t>
      </w:r>
    </w:p>
    <w:p>
      <w:pPr>
        <w:spacing w:after="18"/>
        <w:ind w:left="300" w:hanging="300"/>
      </w:pPr>
      <w:r>
        <w:rPr>
          <w:b/>
          <w:bCs/>
          <w:color w:val="8186EF"/>
          <w:sz w:val="16"/>
          <w:szCs w:val="16"/>
        </w:rPr>
        <w:t xml:space="preserve">8  </w:t>
      </w:r>
      <w:r>
        <w:rPr>
          <w:sz w:val="16"/>
          <w:szCs w:val="16"/>
        </w:rPr>
        <w:t xml:space="preserve">The book’s own table gives Other income and expense as the category of Interest expense.</w:t>
      </w:r>
    </w:p>
    <w:p>
      <w:pPr>
        <w:spacing w:after="18"/>
        <w:ind w:left="300" w:hanging="300"/>
      </w:pPr>
      <w:r>
        <w:rPr>
          <w:b/>
          <w:bCs/>
          <w:color w:val="8186EF"/>
          <w:sz w:val="16"/>
          <w:szCs w:val="16"/>
        </w:rPr>
        <w:t xml:space="preserve">9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10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11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12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13  </w:t>
      </w:r>
      <w:r>
        <w:rPr>
          <w:sz w:val="16"/>
          <w:szCs w:val="16"/>
        </w:rPr>
        <w:t xml:space="preserve">The book numbers “Comprehensive income” as section 3.4.</w:t>
      </w:r>
    </w:p>
    <w:p>
      <w:pPr>
        <w:spacing w:after="18"/>
        <w:ind w:left="300" w:hanging="300"/>
      </w:pPr>
      <w:r>
        <w:rPr>
          <w:b/>
          <w:bCs/>
          <w:color w:val="8186EF"/>
          <w:sz w:val="16"/>
          <w:szCs w:val="16"/>
        </w:rPr>
        <w:t xml:space="preserve">14  </w:t>
      </w:r>
      <w:r>
        <w:rPr>
          <w:sz w:val="16"/>
          <w:szCs w:val="16"/>
        </w:rPr>
        <w:t xml:space="preserve">Compare your sentence with the book’s wording in the key.</w:t>
      </w:r>
    </w:p>
    <w:p>
      <w:pPr>
        <w:spacing w:after="18"/>
        <w:ind w:left="300" w:hanging="300"/>
      </w:pPr>
      <w:r>
        <w:rPr>
          <w:b/>
          <w:bCs/>
          <w:color w:val="8186EF"/>
          <w:sz w:val="16"/>
          <w:szCs w:val="16"/>
        </w:rPr>
        <w:t xml:space="preserve">15  </w:t>
      </w:r>
      <w:r>
        <w:rPr>
          <w:sz w:val="16"/>
          <w:szCs w:val="16"/>
        </w:rPr>
        <w:t xml:space="preserve">Every cycle settles one rule and shows where it comes from.</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term tables in each section are the book’s own.</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3.1: Purpose and structure of the income statement. 3.2: Building the multi-step income statement. 3.3: Unusual items and discontinued operations. 3.4: Comprehensive income. 3.5: Limitations and links to the other statements.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2  </w:t>
      </w:r>
      <w:r>
        <w:rPr>
          <w:sz w:val="16"/>
          <w:szCs w:val="16"/>
        </w:rPr>
        <w:t xml:space="preserve">Leaving a major line of business is a strategic shift with a major effect. A is wrong: One store out of many is not a strategic shift. C is wrong: Selling one asset gives a gain or loss, not a discontinued operation.</w:t>
      </w:r>
    </w:p>
    <w:p>
      <w:pPr>
        <w:spacing w:after="18"/>
        <w:ind w:left="300" w:hanging="300"/>
      </w:pPr>
      <w:r>
        <w:rPr>
          <w:b/>
          <w:bCs/>
          <w:color w:val="8186EF"/>
          <w:sz w:val="16"/>
          <w:szCs w:val="16"/>
        </w:rPr>
        <w:t xml:space="preserve">3  </w:t>
      </w:r>
      <w:r>
        <w:rPr>
          <w:sz w:val="16"/>
          <w:szCs w:val="16"/>
        </w:rPr>
        <w:t xml:space="preserve">Net income of $2,969,100 minus the OCI loss of $1,125, net of tax. A is wrong: This uses the OCI loss before tax. C is wrong: This is net income only; OCI is missing.</w:t>
      </w:r>
    </w:p>
    <w:p>
      <w:pPr>
        <w:spacing w:after="18"/>
        <w:ind w:left="300" w:hanging="300"/>
      </w:pPr>
      <w:r>
        <w:rPr>
          <w:b/>
          <w:bCs/>
          <w:color w:val="8186EF"/>
          <w:sz w:val="16"/>
          <w:szCs w:val="16"/>
        </w:rPr>
        <w:t xml:space="preserve">4  </w:t>
      </w:r>
      <w:r>
        <w:rPr>
          <w:sz w:val="16"/>
          <w:szCs w:val="16"/>
        </w:rPr>
        <w:t xml:space="preserve">AFS debt securities are measured at fair value with changes in OCI. A is wrong: Equity securities changes go to net income. B is wrong: U.S. GAAP does not allow upward revaluation of land.</w:t>
      </w:r>
    </w:p>
    <w:p>
      <w:pPr>
        <w:spacing w:after="18"/>
        <w:ind w:left="300" w:hanging="300"/>
      </w:pPr>
      <w:r>
        <w:rPr>
          <w:b/>
          <w:bCs/>
          <w:color w:val="8186EF"/>
          <w:sz w:val="16"/>
          <w:szCs w:val="16"/>
        </w:rPr>
        <w:t xml:space="preserve">5  </w:t>
      </w:r>
      <w:r>
        <w:rPr>
          <w:sz w:val="16"/>
          <w:szCs w:val="16"/>
        </w:rPr>
        <w:t xml:space="preserve">Estimates (useful lives) and methods (FIFO or LIFO) reduce comparability. A is wrong: Most amounts are based on historical cost. B is wrong: Net income is an accrual measure, not cash.</w:t>
      </w:r>
    </w:p>
    <w:p>
      <w:pPr>
        <w:spacing w:after="18"/>
        <w:ind w:left="300" w:hanging="300"/>
      </w:pPr>
      <w:r>
        <w:rPr>
          <w:b/>
          <w:bCs/>
          <w:color w:val="8186EF"/>
          <w:sz w:val="16"/>
          <w:szCs w:val="16"/>
        </w:rPr>
        <w:t xml:space="preserve">6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7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8  </w:t>
      </w:r>
      <w:r>
        <w:rPr>
          <w:sz w:val="16"/>
          <w:szCs w:val="16"/>
        </w:rPr>
        <w:t xml:space="preserve">The map shows the order the decisions have to be taken in.</w:t>
      </w:r>
    </w:p>
    <w:p>
      <w:pPr>
        <w:spacing w:after="18"/>
        <w:ind w:left="300" w:hanging="300"/>
      </w:pPr>
      <w:r>
        <w:rPr>
          <w:b/>
          <w:bCs/>
          <w:color w:val="8186EF"/>
          <w:sz w:val="16"/>
          <w:szCs w:val="16"/>
        </w:rPr>
        <w:t xml:space="preserve">9  </w:t>
      </w:r>
      <w:r>
        <w:rPr>
          <w:sz w:val="16"/>
          <w:szCs w:val="16"/>
        </w:rPr>
        <w:t xml:space="preserve">The book numbers it 3.1.</w:t>
      </w:r>
    </w:p>
    <w:p>
      <w:pPr>
        <w:spacing w:after="18"/>
        <w:ind w:left="300" w:hanging="300"/>
      </w:pPr>
      <w:r>
        <w:rPr>
          <w:b/>
          <w:bCs/>
          <w:color w:val="8186EF"/>
          <w:sz w:val="16"/>
          <w:szCs w:val="16"/>
        </w:rPr>
        <w:t xml:space="preserve">10  </w:t>
      </w:r>
      <w:r>
        <w:rPr>
          <w:sz w:val="16"/>
          <w:szCs w:val="16"/>
        </w:rPr>
        <w:t xml:space="preserve">The book numbers it 3.2.</w:t>
      </w:r>
    </w:p>
    <w:p>
      <w:pPr>
        <w:spacing w:after="18"/>
        <w:ind w:left="300" w:hanging="300"/>
      </w:pPr>
      <w:r>
        <w:rPr>
          <w:b/>
          <w:bCs/>
          <w:color w:val="8186EF"/>
          <w:sz w:val="16"/>
          <w:szCs w:val="16"/>
        </w:rPr>
        <w:t xml:space="preserve">11  </w:t>
      </w:r>
      <w:r>
        <w:rPr>
          <w:sz w:val="16"/>
          <w:szCs w:val="16"/>
        </w:rPr>
        <w:t xml:space="preserve">The book numbers it 3.3.</w:t>
      </w:r>
    </w:p>
    <w:p>
      <w:pPr>
        <w:spacing w:after="18"/>
        <w:ind w:left="300" w:hanging="300"/>
      </w:pPr>
      <w:r>
        <w:rPr>
          <w:b/>
          <w:bCs/>
          <w:color w:val="8186EF"/>
          <w:sz w:val="16"/>
          <w:szCs w:val="16"/>
        </w:rPr>
        <w:t xml:space="preserve">17  </w:t>
      </w:r>
      <w:r>
        <w:rPr>
          <w:sz w:val="16"/>
          <w:szCs w:val="16"/>
        </w:rPr>
        <w:t xml:space="preserve">Estimates (useful lives) and methods (FIFO or LIFO) reduce comparability. A is wrong: Most amounts are based on historical cost. B is wrong: Net income is an accrual measure, not cash.</w:t>
      </w:r>
    </w:p>
    <w:p>
      <w:pPr>
        <w:spacing w:after="18"/>
        <w:ind w:left="300" w:hanging="300"/>
      </w:pPr>
      <w:r>
        <w:rPr>
          <w:b/>
          <w:bCs/>
          <w:color w:val="8186EF"/>
          <w:sz w:val="16"/>
          <w:szCs w:val="16"/>
        </w:rPr>
        <w:t xml:space="preserve">18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C3-1 in those words.</w:t>
      </w:r>
    </w:p>
    <w:p>
      <w:pPr>
        <w:spacing w:after="18"/>
        <w:ind w:left="300" w:hanging="300"/>
      </w:pPr>
      <w:r>
        <w:rPr>
          <w:b/>
          <w:bCs/>
          <w:color w:val="8186EF"/>
          <w:sz w:val="16"/>
          <w:szCs w:val="16"/>
        </w:rPr>
        <w:t xml:space="preserve">21  </w:t>
      </w:r>
      <w:r>
        <w:rPr>
          <w:sz w:val="16"/>
          <w:szCs w:val="16"/>
        </w:rPr>
        <w:t xml:space="preserve">The book states item C3-2 in those words.</w:t>
      </w:r>
    </w:p>
    <w:p>
      <w:pPr>
        <w:spacing w:after="18"/>
        <w:ind w:left="300" w:hanging="300"/>
      </w:pPr>
      <w:r>
        <w:rPr>
          <w:b/>
          <w:bCs/>
          <w:color w:val="8186EF"/>
          <w:sz w:val="16"/>
          <w:szCs w:val="16"/>
        </w:rPr>
        <w:t xml:space="preserve">22  </w:t>
      </w:r>
      <w:r>
        <w:rPr>
          <w:sz w:val="16"/>
          <w:szCs w:val="16"/>
        </w:rPr>
        <w:t xml:space="preserve">The book states item C3-3 in those words.</w:t>
      </w:r>
    </w:p>
    <w:p>
      <w:pPr>
        <w:spacing w:after="18"/>
        <w:ind w:left="300" w:hanging="300"/>
      </w:pPr>
      <w:r>
        <w:rPr>
          <w:b/>
          <w:bCs/>
          <w:color w:val="8186EF"/>
          <w:sz w:val="16"/>
          <w:szCs w:val="16"/>
        </w:rPr>
        <w:t xml:space="preserve">23  </w:t>
      </w:r>
      <w:r>
        <w:rPr>
          <w:sz w:val="16"/>
          <w:szCs w:val="16"/>
        </w:rPr>
        <w:t xml:space="preserve">The book states item C3-4 in those words.</w:t>
      </w:r>
    </w:p>
    <w:p>
      <w:pPr>
        <w:spacing w:after="18"/>
        <w:ind w:left="300" w:hanging="300"/>
      </w:pPr>
      <w:r>
        <w:rPr>
          <w:b/>
          <w:bCs/>
          <w:color w:val="8186EF"/>
          <w:sz w:val="16"/>
          <w:szCs w:val="16"/>
        </w:rPr>
        <w:t xml:space="preserve">24  </w:t>
      </w:r>
      <w:r>
        <w:rPr>
          <w:sz w:val="16"/>
          <w:szCs w:val="16"/>
        </w:rPr>
        <w:t xml:space="preserve">The book states item C3-5 in those words.</w:t>
      </w:r>
    </w:p>
    <w:p>
      <w:pPr>
        <w:spacing w:after="18"/>
        <w:ind w:left="300" w:hanging="300"/>
      </w:pPr>
      <w:r>
        <w:rPr>
          <w:b/>
          <w:bCs/>
          <w:color w:val="8186EF"/>
          <w:sz w:val="16"/>
          <w:szCs w:val="16"/>
        </w:rPr>
        <w:t xml:space="preserve">25  </w:t>
      </w:r>
      <w:r>
        <w:rPr>
          <w:sz w:val="16"/>
          <w:szCs w:val="16"/>
        </w:rPr>
        <w:t xml:space="preserve">The book states item C3-6 in those words.</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3 — answer keys</dc:title>
  <dc:subject>The Income Statement and Comprehensive Income</dc:subject>
  <cp:category>Student Book</cp:category>
</cp:coreProperties>
</file>