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6.1 · Recognizing and measuring receivables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32  </w:t>
            </w:r>
            <w:r>
              <w:rPr>
                <w:sz w:val="17"/>
                <w:szCs w:val="17"/>
              </w:rPr>
              <w:t xml:space="preserve">E</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33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Sale: T1, T2</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34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Secured borrowing: T3, T4</w:t>
            </w:r>
          </w:p>
        </w:tc>
        <w:tc>
          <w:tcPr>
            <w:tcW w:type="pct" w:w="1667"/>
            <w:tcMar>
              <w:top w:type="dxa" w:w="40"/>
              <w:left w:type="dxa" w:w="100"/>
              <w:bottom w:type="dxa" w:w="40"/>
              <w:right w:type="dxa" w:w="100"/>
            </w:tcMar>
          </w:tcPr>
          <w:p>
            <w:pPr>
              <w:spacing w:before="22" w:after="22"/>
            </w:pPr>
            <w:r>
              <w:rPr>
                <w:b/>
                <w:bCs/>
                <w:color w:val="8186EF"/>
                <w:sz w:val="16"/>
                <w:szCs w:val="16"/>
              </w:rPr>
              <w:t xml:space="preserve">35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36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37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39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40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41  </w:t>
            </w:r>
            <w:r>
              <w:rPr>
                <w:sz w:val="17"/>
                <w:szCs w:val="17"/>
              </w:rPr>
              <w:t xml:space="preserve">A company records an account receivable when its right to be paid is unconditional: only the passage of time is needed before payment is due. This usually happens when it delivers the goods or services and transfers control (Chapter 11). If the company still has to do something else before it can bill, for example finish a second delivery, it has a contract </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F</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It is effective for annual periods beginning after December 15, 2025; under the one-year rule it is not yet tested. A is wrong: It is an optional simplification and is not yet testable. B is wrong: It is a U.S. GAAP update.</w:t>
      </w:r>
    </w:p>
    <w:p>
      <w:pPr>
        <w:spacing w:after="18"/>
        <w:ind w:left="300" w:hanging="300"/>
      </w:pPr>
      <w:r>
        <w:rPr>
          <w:b/>
          <w:bCs/>
          <w:color w:val="8186EF"/>
          <w:sz w:val="16"/>
          <w:szCs w:val="16"/>
        </w:rPr>
        <w:t xml:space="preserve">2  </w:t>
      </w:r>
      <w:r>
        <w:rPr>
          <w:sz w:val="16"/>
          <w:szCs w:val="16"/>
        </w:rPr>
        <w:t xml:space="preserve">All three sale conditions are met; recourse adds a liability to the sale. A is wrong: Recourse alone does not make the transfer a borrowing. B is wrong: The recourse obligation must be recorded.</w:t>
      </w:r>
    </w:p>
    <w:p>
      <w:pPr>
        <w:spacing w:after="18"/>
        <w:ind w:left="300" w:hanging="300"/>
      </w:pPr>
      <w:r>
        <w:rPr>
          <w:b/>
          <w:bCs/>
          <w:color w:val="8186EF"/>
          <w:sz w:val="16"/>
          <w:szCs w:val="16"/>
        </w:rPr>
        <w:t xml:space="preserve">3  </w:t>
      </w:r>
      <w:r>
        <w:rPr>
          <w:sz w:val="16"/>
          <w:szCs w:val="16"/>
        </w:rPr>
        <w:t xml:space="preserve">The book’s own table pairs T1 with “Sale”.</w:t>
      </w:r>
    </w:p>
    <w:p>
      <w:pPr>
        <w:spacing w:after="18"/>
        <w:ind w:left="300" w:hanging="300"/>
      </w:pPr>
      <w:r>
        <w:rPr>
          <w:b/>
          <w:bCs/>
          <w:color w:val="8186EF"/>
          <w:sz w:val="16"/>
          <w:szCs w:val="16"/>
        </w:rPr>
        <w:t xml:space="preserve">4  </w:t>
      </w:r>
      <w:r>
        <w:rPr>
          <w:sz w:val="16"/>
          <w:szCs w:val="16"/>
        </w:rPr>
        <w:t xml:space="preserve">The book’s own table pairs T3 with “Secured borrowing”.</w:t>
      </w:r>
    </w:p>
    <w:p>
      <w:pPr>
        <w:spacing w:after="18"/>
        <w:ind w:left="300" w:hanging="300"/>
      </w:pPr>
      <w:r>
        <w:rPr>
          <w:b/>
          <w:bCs/>
          <w:color w:val="8186EF"/>
          <w:sz w:val="16"/>
          <w:szCs w:val="16"/>
        </w:rPr>
        <w:t xml:space="preserve">5  </w:t>
      </w:r>
      <w:r>
        <w:rPr>
          <w:sz w:val="16"/>
          <w:szCs w:val="16"/>
        </w:rPr>
        <w:t xml:space="preserve">The book’s own table gives 80,000 × 8% = 6,400 as the answer of 1–60 days past due.</w:t>
      </w:r>
    </w:p>
    <w:p>
      <w:pPr>
        <w:spacing w:after="18"/>
        <w:ind w:left="300" w:hanging="300"/>
      </w:pPr>
      <w:r>
        <w:rPr>
          <w:b/>
          <w:bCs/>
          <w:color w:val="8186EF"/>
          <w:sz w:val="16"/>
          <w:szCs w:val="16"/>
        </w:rPr>
        <w:t xml:space="preserve">6  </w:t>
      </w:r>
      <w:r>
        <w:rPr>
          <w:sz w:val="16"/>
          <w:szCs w:val="16"/>
        </w:rPr>
        <w:t xml:space="preserve">The book’s own table gives 40,000 × 25% = 10,000 as the answer of Over 60 days past due.</w:t>
      </w:r>
    </w:p>
    <w:p>
      <w:pPr>
        <w:spacing w:after="18"/>
        <w:ind w:left="300" w:hanging="300"/>
      </w:pPr>
      <w:r>
        <w:rPr>
          <w:b/>
          <w:bCs/>
          <w:color w:val="8186EF"/>
          <w:sz w:val="16"/>
          <w:szCs w:val="16"/>
        </w:rPr>
        <w:t xml:space="preserve">7  </w:t>
      </w:r>
      <w:r>
        <w:rPr>
          <w:sz w:val="16"/>
          <w:szCs w:val="16"/>
        </w:rPr>
        <w:t xml:space="preserve">The book’s own table gives 3,600 + 6,400 + 10,000 = 20,000 as the answer of Required allowance.</w:t>
      </w:r>
    </w:p>
    <w:p>
      <w:pPr>
        <w:spacing w:after="18"/>
        <w:ind w:left="300" w:hanging="300"/>
      </w:pPr>
      <w:r>
        <w:rPr>
          <w:b/>
          <w:bCs/>
          <w:color w:val="8186EF"/>
          <w:sz w:val="16"/>
          <w:szCs w:val="16"/>
        </w:rPr>
        <w:t xml:space="preserve">8  </w:t>
      </w:r>
      <w:r>
        <w:rPr>
          <w:sz w:val="16"/>
          <w:szCs w:val="16"/>
        </w:rPr>
        <w:t xml:space="preserve">The book pairs T1 with “Sale”.</w:t>
      </w:r>
    </w:p>
    <w:p>
      <w:pPr>
        <w:spacing w:after="18"/>
        <w:ind w:left="300" w:hanging="300"/>
      </w:pPr>
      <w:r>
        <w:rPr>
          <w:b/>
          <w:bCs/>
          <w:color w:val="8186EF"/>
          <w:sz w:val="16"/>
          <w:szCs w:val="16"/>
        </w:rPr>
        <w:t xml:space="preserve">9  </w:t>
      </w:r>
      <w:r>
        <w:rPr>
          <w:sz w:val="16"/>
          <w:szCs w:val="16"/>
        </w:rPr>
        <w:t xml:space="preserve">The book pairs T2 with “Sale”, not with “Secured borrowing”.</w:t>
      </w:r>
    </w:p>
    <w:p>
      <w:pPr>
        <w:spacing w:after="18"/>
        <w:ind w:left="300" w:hanging="300"/>
      </w:pPr>
      <w:r>
        <w:rPr>
          <w:b/>
          <w:bCs/>
          <w:color w:val="8186EF"/>
          <w:sz w:val="16"/>
          <w:szCs w:val="16"/>
        </w:rPr>
        <w:t xml:space="preserve">10  </w:t>
      </w:r>
      <w:r>
        <w:rPr>
          <w:sz w:val="16"/>
          <w:szCs w:val="16"/>
        </w:rPr>
        <w:t xml:space="preserve">The book pairs T3 with “Secured borrowing”.</w:t>
      </w:r>
    </w:p>
    <w:p>
      <w:pPr>
        <w:spacing w:after="18"/>
        <w:ind w:left="300" w:hanging="300"/>
      </w:pPr>
      <w:r>
        <w:rPr>
          <w:b/>
          <w:bCs/>
          <w:color w:val="8186EF"/>
          <w:sz w:val="16"/>
          <w:szCs w:val="16"/>
        </w:rPr>
        <w:t xml:space="preserve">11  </w:t>
      </w:r>
      <w:r>
        <w:rPr>
          <w:sz w:val="16"/>
          <w:szCs w:val="16"/>
        </w:rPr>
        <w:t xml:space="preserve">The book pairs 1–60 days past due with “80,000 × 8% = 6,400”.</w:t>
      </w:r>
    </w:p>
    <w:p>
      <w:pPr>
        <w:spacing w:after="18"/>
        <w:ind w:left="300" w:hanging="300"/>
      </w:pPr>
      <w:r>
        <w:rPr>
          <w:b/>
          <w:bCs/>
          <w:color w:val="8186EF"/>
          <w:sz w:val="16"/>
          <w:szCs w:val="16"/>
        </w:rPr>
        <w:t xml:space="preserve">12  </w:t>
      </w:r>
      <w:r>
        <w:rPr>
          <w:sz w:val="16"/>
          <w:szCs w:val="16"/>
        </w:rPr>
        <w:t xml:space="preserve">The book pairs Over 60 days past due with “40,000 × 25% = 10,000”, not with “80,000 × 8% = 6,400”.</w:t>
      </w:r>
    </w:p>
    <w:p>
      <w:pPr>
        <w:spacing w:after="18"/>
        <w:ind w:left="300" w:hanging="300"/>
      </w:pPr>
      <w:r>
        <w:rPr>
          <w:b/>
          <w:bCs/>
          <w:color w:val="8186EF"/>
          <w:sz w:val="16"/>
          <w:szCs w:val="16"/>
        </w:rPr>
        <w:t xml:space="preserve">13  </w:t>
      </w:r>
      <w:r>
        <w:rPr>
          <w:sz w:val="16"/>
          <w:szCs w:val="16"/>
        </w:rPr>
        <w:t xml:space="preserve">The book pairs T1 with “Sale”.</w:t>
      </w:r>
    </w:p>
    <w:p>
      <w:pPr>
        <w:spacing w:after="18"/>
        <w:ind w:left="300" w:hanging="300"/>
      </w:pPr>
      <w:r>
        <w:rPr>
          <w:b/>
          <w:bCs/>
          <w:color w:val="8186EF"/>
          <w:sz w:val="16"/>
          <w:szCs w:val="16"/>
        </w:rPr>
        <w:t xml:space="preserve">14  </w:t>
      </w:r>
      <w:r>
        <w:rPr>
          <w:sz w:val="16"/>
          <w:szCs w:val="16"/>
        </w:rPr>
        <w:t xml:space="preserve">The book’s own table pairs T1 with “Sale”.</w:t>
      </w:r>
    </w:p>
    <w:p>
      <w:pPr>
        <w:spacing w:after="18"/>
        <w:ind w:left="300" w:hanging="300"/>
      </w:pPr>
      <w:r>
        <w:rPr>
          <w:b/>
          <w:bCs/>
          <w:color w:val="8186EF"/>
          <w:sz w:val="16"/>
          <w:szCs w:val="16"/>
        </w:rPr>
        <w:t xml:space="preserve">15  </w:t>
      </w:r>
      <w:r>
        <w:rPr>
          <w:sz w:val="16"/>
          <w:szCs w:val="16"/>
        </w:rPr>
        <w:t xml:space="preserve">The book’s own table pairs T2 with “Sale”.</w:t>
      </w:r>
    </w:p>
    <w:p>
      <w:pPr>
        <w:spacing w:after="18"/>
        <w:ind w:left="300" w:hanging="300"/>
      </w:pPr>
      <w:r>
        <w:rPr>
          <w:b/>
          <w:bCs/>
          <w:color w:val="8186EF"/>
          <w:sz w:val="16"/>
          <w:szCs w:val="16"/>
        </w:rPr>
        <w:t xml:space="preserve">16  </w:t>
      </w:r>
      <w:r>
        <w:rPr>
          <w:sz w:val="16"/>
          <w:szCs w:val="16"/>
        </w:rPr>
        <w:t xml:space="preserve">The book’s own table pairs T3 with “Secured borrowing”.</w:t>
      </w:r>
    </w:p>
    <w:p>
      <w:pPr>
        <w:spacing w:after="18"/>
        <w:ind w:left="300" w:hanging="300"/>
      </w:pPr>
      <w:r>
        <w:rPr>
          <w:b/>
          <w:bCs/>
          <w:color w:val="8186EF"/>
          <w:sz w:val="16"/>
          <w:szCs w:val="16"/>
        </w:rPr>
        <w:t xml:space="preserve">17  </w:t>
      </w:r>
      <w:r>
        <w:rPr>
          <w:sz w:val="16"/>
          <w:szCs w:val="16"/>
        </w:rPr>
        <w:t xml:space="preserve">The book’s own table pairs T4 with “Secured borrowing”.</w:t>
      </w:r>
    </w:p>
    <w:p>
      <w:pPr>
        <w:spacing w:after="18"/>
        <w:ind w:left="300" w:hanging="300"/>
      </w:pPr>
      <w:r>
        <w:rPr>
          <w:b/>
          <w:bCs/>
          <w:color w:val="8186EF"/>
          <w:sz w:val="16"/>
          <w:szCs w:val="16"/>
        </w:rPr>
        <w:t xml:space="preserve">18  </w:t>
      </w:r>
      <w:r>
        <w:rPr>
          <w:sz w:val="16"/>
          <w:szCs w:val="16"/>
        </w:rPr>
        <w:t xml:space="preserve">The book pairs T1 with “Sale”.</w:t>
      </w:r>
    </w:p>
    <w:p>
      <w:pPr>
        <w:spacing w:after="18"/>
        <w:ind w:left="300" w:hanging="300"/>
      </w:pPr>
      <w:r>
        <w:rPr>
          <w:b/>
          <w:bCs/>
          <w:color w:val="8186EF"/>
          <w:sz w:val="16"/>
          <w:szCs w:val="16"/>
        </w:rPr>
        <w:t xml:space="preserve">19  </w:t>
      </w:r>
      <w:r>
        <w:rPr>
          <w:sz w:val="16"/>
          <w:szCs w:val="16"/>
        </w:rPr>
        <w:t xml:space="preserve">The book pairs T2 with “Sale”, not with “Secured borrowing”.</w:t>
      </w:r>
    </w:p>
    <w:p>
      <w:pPr>
        <w:spacing w:after="18"/>
        <w:ind w:left="300" w:hanging="300"/>
      </w:pPr>
      <w:r>
        <w:rPr>
          <w:b/>
          <w:bCs/>
          <w:color w:val="8186EF"/>
          <w:sz w:val="16"/>
          <w:szCs w:val="16"/>
        </w:rPr>
        <w:t xml:space="preserve">22  </w:t>
      </w:r>
      <w:r>
        <w:rPr>
          <w:sz w:val="16"/>
          <w:szCs w:val="16"/>
        </w:rPr>
        <w:t xml:space="preserve">CECL records lifetime expected losses from day one. A is wrong: The probable threshold belonged to the old incurred-loss model. B is wrong: CECL does not wait for evidence of a loss.</w:t>
      </w:r>
    </w:p>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6.2 · The allowance for credit losses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1–30 days past due: 150,000 · 3% · 4,500</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31–60 days past due: 60,000 · 10% · 6,000</w:t>
            </w:r>
          </w:p>
        </w:tc>
        <w:tc>
          <w:tcPr>
            <w:tcW w:type="pct" w:w="1667"/>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61–90 days past due: 30,000 · 25% · 7,500</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Over 90 days past due: 20,000 · 60% · 12,000</w:t>
            </w:r>
          </w:p>
        </w:tc>
        <w:tc>
          <w:tcPr>
            <w:tcW w:type="pct" w:w="1667"/>
            <w:tcMar>
              <w:top w:type="dxa" w:w="40"/>
              <w:left w:type="dxa" w:w="100"/>
              <w:bottom w:type="dxa" w:w="40"/>
              <w:right w:type="dxa" w:w="100"/>
            </w:tcMar>
          </w:tcPr>
          <w:p>
            <w:pPr>
              <w:spacing w:before="22" w:after="22"/>
            </w:pPr>
            <w:r>
              <w:rPr>
                <w:b/>
                <w:bCs/>
                <w:color w:val="8186EF"/>
                <w:sz w:val="16"/>
                <w:szCs w:val="16"/>
              </w:rPr>
              <w:t xml:space="preserve">33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Total: 660,000 ·  · 34,000</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34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35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37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39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40  </w:t>
            </w:r>
            <w:r>
              <w:rPr>
                <w:sz w:val="17"/>
                <w:szCs w:val="17"/>
              </w:rPr>
              <w:t xml:space="preserve">Under current expected credit losses (CECL), a company presents its receivables net of an allowance that covers all the credit losses it expects over their life. It records these expected losses from the first day. It does not wait until a loss becomes probable. The estimate uses past experience, current conditions and reasonable and supportable forecasts.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F</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C</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IFRS 9 focuses on risks and rewards; substantial recourse often keeps the risk with the seller. A is wrong: Under U.S. GAAP the ASC 860 conditions decide, and they are met. C is wrong: A U.S. GAAP sale with recourse records a recourse liability.</w:t>
      </w:r>
    </w:p>
    <w:p>
      <w:pPr>
        <w:spacing w:after="18"/>
        <w:ind w:left="300" w:hanging="300"/>
      </w:pPr>
      <w:r>
        <w:rPr>
          <w:b/>
          <w:bCs/>
          <w:color w:val="8186EF"/>
          <w:sz w:val="16"/>
          <w:szCs w:val="16"/>
        </w:rPr>
        <w:t xml:space="preserve">2  </w:t>
      </w:r>
      <w:r>
        <w:rPr>
          <w:sz w:val="16"/>
          <w:szCs w:val="16"/>
        </w:rPr>
        <w:t xml:space="preserve">It reduces receivables to the amount expected to be collected. A is wrong: It is a contra-asset, not a liability. B is wrong: The expense is a separate account; the allowance is the balance sheet total.</w:t>
      </w:r>
    </w:p>
    <w:p>
      <w:pPr>
        <w:spacing w:after="18"/>
        <w:ind w:left="300" w:hanging="300"/>
      </w:pPr>
      <w:r>
        <w:rPr>
          <w:b/>
          <w:bCs/>
          <w:color w:val="8186EF"/>
          <w:sz w:val="16"/>
          <w:szCs w:val="16"/>
        </w:rPr>
        <w:t xml:space="preserve">3  </w:t>
      </w:r>
      <w:r>
        <w:rPr>
          <w:sz w:val="16"/>
          <w:szCs w:val="16"/>
        </w:rPr>
        <w:t xml:space="preserve">The book’s own table gives 400,000 as the amount of Current.</w:t>
      </w:r>
    </w:p>
    <w:p>
      <w:pPr>
        <w:spacing w:after="18"/>
        <w:ind w:left="300" w:hanging="300"/>
      </w:pPr>
      <w:r>
        <w:rPr>
          <w:b/>
          <w:bCs/>
          <w:color w:val="8186EF"/>
          <w:sz w:val="16"/>
          <w:szCs w:val="16"/>
        </w:rPr>
        <w:t xml:space="preserve">4  </w:t>
      </w:r>
      <w:r>
        <w:rPr>
          <w:sz w:val="16"/>
          <w:szCs w:val="16"/>
        </w:rPr>
        <w:t xml:space="preserve">The book’s own table gives 150,000 as the amount of 1–30 days past due.</w:t>
      </w:r>
    </w:p>
    <w:p>
      <w:pPr>
        <w:spacing w:after="18"/>
        <w:ind w:left="300" w:hanging="300"/>
      </w:pPr>
      <w:r>
        <w:rPr>
          <w:b/>
          <w:bCs/>
          <w:color w:val="8186EF"/>
          <w:sz w:val="16"/>
          <w:szCs w:val="16"/>
        </w:rPr>
        <w:t xml:space="preserve">5  </w:t>
      </w:r>
      <w:r>
        <w:rPr>
          <w:sz w:val="16"/>
          <w:szCs w:val="16"/>
        </w:rPr>
        <w:t xml:space="preserve">The book’s own table gives 60,000 as the amount of 31–60 days past due.</w:t>
      </w:r>
    </w:p>
    <w:p>
      <w:pPr>
        <w:spacing w:after="18"/>
        <w:ind w:left="300" w:hanging="300"/>
      </w:pPr>
      <w:r>
        <w:rPr>
          <w:b/>
          <w:bCs/>
          <w:color w:val="8186EF"/>
          <w:sz w:val="16"/>
          <w:szCs w:val="16"/>
        </w:rPr>
        <w:t xml:space="preserve">6  </w:t>
      </w:r>
      <w:r>
        <w:rPr>
          <w:sz w:val="16"/>
          <w:szCs w:val="16"/>
        </w:rPr>
        <w:t xml:space="preserve">The book’s own table gives 30,000 as the amount of 61–90 days past due.</w:t>
      </w:r>
    </w:p>
    <w:p>
      <w:pPr>
        <w:spacing w:after="18"/>
        <w:ind w:left="300" w:hanging="300"/>
      </w:pPr>
      <w:r>
        <w:rPr>
          <w:b/>
          <w:bCs/>
          <w:color w:val="8186EF"/>
          <w:sz w:val="16"/>
          <w:szCs w:val="16"/>
        </w:rPr>
        <w:t xml:space="preserve">7  </w:t>
      </w:r>
      <w:r>
        <w:rPr>
          <w:sz w:val="16"/>
          <w:szCs w:val="16"/>
        </w:rPr>
        <w:t xml:space="preserve">The book’s own table gives 20,000 as the amount of Over 90 days past due.</w:t>
      </w:r>
    </w:p>
    <w:p>
      <w:pPr>
        <w:spacing w:after="18"/>
        <w:ind w:left="300" w:hanging="300"/>
      </w:pPr>
      <w:r>
        <w:rPr>
          <w:b/>
          <w:bCs/>
          <w:color w:val="8186EF"/>
          <w:sz w:val="16"/>
          <w:szCs w:val="16"/>
        </w:rPr>
        <w:t xml:space="preserve">8  </w:t>
      </w:r>
      <w:r>
        <w:rPr>
          <w:sz w:val="16"/>
          <w:szCs w:val="16"/>
        </w:rPr>
        <w:t xml:space="preserve">The book’s own table gives 660,000 as the amount of Total.</w:t>
      </w:r>
    </w:p>
    <w:p>
      <w:pPr>
        <w:spacing w:after="18"/>
        <w:ind w:left="300" w:hanging="300"/>
      </w:pPr>
      <w:r>
        <w:rPr>
          <w:b/>
          <w:bCs/>
          <w:color w:val="8186EF"/>
          <w:sz w:val="16"/>
          <w:szCs w:val="16"/>
        </w:rPr>
        <w:t xml:space="preserve">9  </w:t>
      </w:r>
      <w:r>
        <w:rPr>
          <w:sz w:val="16"/>
          <w:szCs w:val="16"/>
        </w:rPr>
        <w:t xml:space="preserve">The book pairs Current with “400,000”.</w:t>
      </w:r>
    </w:p>
    <w:p>
      <w:pPr>
        <w:spacing w:after="18"/>
        <w:ind w:left="300" w:hanging="300"/>
      </w:pPr>
      <w:r>
        <w:rPr>
          <w:b/>
          <w:bCs/>
          <w:color w:val="8186EF"/>
          <w:sz w:val="16"/>
          <w:szCs w:val="16"/>
        </w:rPr>
        <w:t xml:space="preserve">10  </w:t>
      </w:r>
      <w:r>
        <w:rPr>
          <w:sz w:val="16"/>
          <w:szCs w:val="16"/>
        </w:rPr>
        <w:t xml:space="preserve">The book’s own table gives 400,000 as the amount of Current.</w:t>
      </w:r>
    </w:p>
    <w:p>
      <w:pPr>
        <w:spacing w:after="18"/>
        <w:ind w:left="300" w:hanging="300"/>
      </w:pPr>
      <w:r>
        <w:rPr>
          <w:b/>
          <w:bCs/>
          <w:color w:val="8186EF"/>
          <w:sz w:val="16"/>
          <w:szCs w:val="16"/>
        </w:rPr>
        <w:t xml:space="preserve">11  </w:t>
      </w:r>
      <w:r>
        <w:rPr>
          <w:sz w:val="16"/>
          <w:szCs w:val="16"/>
        </w:rPr>
        <w:t xml:space="preserve">The book’s own table gives 150,000 as the amount of 1–30 days past due.</w:t>
      </w:r>
    </w:p>
    <w:p>
      <w:pPr>
        <w:spacing w:after="18"/>
        <w:ind w:left="300" w:hanging="300"/>
      </w:pPr>
      <w:r>
        <w:rPr>
          <w:b/>
          <w:bCs/>
          <w:color w:val="8186EF"/>
          <w:sz w:val="16"/>
          <w:szCs w:val="16"/>
        </w:rPr>
        <w:t xml:space="preserve">12  </w:t>
      </w:r>
      <w:r>
        <w:rPr>
          <w:sz w:val="16"/>
          <w:szCs w:val="16"/>
        </w:rPr>
        <w:t xml:space="preserve">The book’s own table gives 60,000 as the amount of 31–60 days past due.</w:t>
      </w:r>
    </w:p>
    <w:p>
      <w:pPr>
        <w:spacing w:after="18"/>
        <w:ind w:left="300" w:hanging="300"/>
      </w:pPr>
      <w:r>
        <w:rPr>
          <w:b/>
          <w:bCs/>
          <w:color w:val="8186EF"/>
          <w:sz w:val="16"/>
          <w:szCs w:val="16"/>
        </w:rPr>
        <w:t xml:space="preserve">13  </w:t>
      </w:r>
      <w:r>
        <w:rPr>
          <w:sz w:val="16"/>
          <w:szCs w:val="16"/>
        </w:rPr>
        <w:t xml:space="preserve">The book’s own table gives 30,000 as the amount of 61–90 days past due.</w:t>
      </w:r>
    </w:p>
    <w:p>
      <w:pPr>
        <w:spacing w:after="18"/>
        <w:ind w:left="300" w:hanging="300"/>
      </w:pPr>
      <w:r>
        <w:rPr>
          <w:b/>
          <w:bCs/>
          <w:color w:val="8186EF"/>
          <w:sz w:val="16"/>
          <w:szCs w:val="16"/>
        </w:rPr>
        <w:t xml:space="preserve">14  </w:t>
      </w:r>
      <w:r>
        <w:rPr>
          <w:sz w:val="16"/>
          <w:szCs w:val="16"/>
        </w:rPr>
        <w:t xml:space="preserve">The book pairs Current with “4,000”.</w:t>
      </w:r>
    </w:p>
    <w:p>
      <w:pPr>
        <w:spacing w:after="18"/>
        <w:ind w:left="300" w:hanging="300"/>
      </w:pPr>
      <w:r>
        <w:rPr>
          <w:b/>
          <w:bCs/>
          <w:color w:val="8186EF"/>
          <w:sz w:val="16"/>
          <w:szCs w:val="16"/>
        </w:rPr>
        <w:t xml:space="preserve">15  </w:t>
      </w:r>
      <w:r>
        <w:rPr>
          <w:sz w:val="16"/>
          <w:szCs w:val="16"/>
        </w:rPr>
        <w:t xml:space="preserve">The book pairs 1–30 days past due with “4,500”, not with “4,000”.</w:t>
      </w:r>
    </w:p>
    <w:p>
      <w:pPr>
        <w:spacing w:after="18"/>
        <w:ind w:left="300" w:hanging="300"/>
      </w:pPr>
      <w:r>
        <w:rPr>
          <w:b/>
          <w:bCs/>
          <w:color w:val="8186EF"/>
          <w:sz w:val="16"/>
          <w:szCs w:val="16"/>
        </w:rPr>
        <w:t xml:space="preserve">21  </w:t>
      </w:r>
      <w:r>
        <w:rPr>
          <w:sz w:val="16"/>
          <w:szCs w:val="16"/>
        </w:rPr>
        <w:t xml:space="preserve">It is effective for annual periods beginning after December 15, 2025; under the one-year rule it is not yet tested. A is wrong: It is an optional simplification and is not yet testable. B is wrong: It is a U.S. GAAP update.</w:t>
      </w:r>
    </w:p>
    <w:p>
      <w:pPr>
        <w:spacing w:after="18"/>
        <w:ind w:left="300" w:hanging="300"/>
      </w:pPr>
      <w:r>
        <w:rPr>
          <w:b/>
          <w:bCs/>
          <w:color w:val="8186EF"/>
          <w:sz w:val="16"/>
          <w:szCs w:val="16"/>
        </w:rPr>
        <w:t xml:space="preserve">22  </w:t>
      </w:r>
      <w:r>
        <w:rPr>
          <w:sz w:val="16"/>
          <w:szCs w:val="16"/>
        </w:rPr>
        <w:t xml:space="preserve">All three sale conditions are met; recourse adds a liability to the sale. A is wrong: Recourse alone does not make the transfer a borrowing. B is wrong: The recourse obligation must be recorded.</w:t>
      </w:r>
    </w:p>
    <w:p>
      <w:pPr>
        <w:spacing w:after="18"/>
        <w:ind w:left="300" w:hanging="300"/>
      </w:pPr>
      <w:r>
        <w:rPr>
          <w:b/>
          <w:bCs/>
          <w:color w:val="8186EF"/>
          <w:sz w:val="16"/>
          <w:szCs w:val="16"/>
        </w:rPr>
        <w:t xml:space="preserve">23  </w:t>
      </w:r>
      <w:r>
        <w:rPr>
          <w:sz w:val="16"/>
          <w:szCs w:val="16"/>
        </w:rPr>
        <w:t xml:space="preserve">Carrying amount − (cash + due from factor − recourse liability). A is wrong: This is only the recourse liability. B is wrong: This leaves out the recourse liability.</w:t>
      </w:r>
    </w:p>
    <w:p>
      <w:pPr>
        <w:spacing w:after="18"/>
        <w:ind w:left="300" w:hanging="300"/>
      </w:pPr>
      <w:r>
        <w:rPr>
          <w:b/>
          <w:bCs/>
          <w:color w:val="8186EF"/>
          <w:sz w:val="16"/>
          <w:szCs w:val="16"/>
        </w:rPr>
        <w:t xml:space="preserve">24  </w:t>
      </w:r>
      <w:r>
        <w:rPr>
          <w:sz w:val="16"/>
          <w:szCs w:val="16"/>
        </w:rPr>
        <w:t xml:space="preserve">In a borrowing, the receivables stay (pledged) and the cash received is a liability. A is wrong: That describes a sale without recourse. B is wrong: That describes a sale with recourse.</w:t>
      </w:r>
    </w:p>
    <w:p>
      <w:pPr>
        <w:spacing w:after="18"/>
        <w:ind w:left="300" w:hanging="300"/>
      </w:pPr>
      <w:r>
        <w:rPr>
          <w:b/>
          <w:bCs/>
          <w:color w:val="8186EF"/>
          <w:sz w:val="16"/>
          <w:szCs w:val="16"/>
        </w:rPr>
        <w:t xml:space="preserve">25  </w:t>
      </w:r>
      <w:r>
        <w:rPr>
          <w:sz w:val="16"/>
          <w:szCs w:val="16"/>
        </w:rPr>
        <w:t xml:space="preserve">It is effective for annual periods beginning after December 15, 2025; under the one-year rule it is not yet tested. A is wrong: It is an optional simplification and is not yet testable. B is wrong: It is a U.S. GAAP update.</w:t>
      </w:r>
    </w:p>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6.3 · Transferring receivables: sale or secured borrowing?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F</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32  </w:t>
            </w:r>
            <w:r>
              <w:rPr>
                <w:sz w:val="17"/>
                <w:szCs w:val="17"/>
              </w:rPr>
              <w:t xml:space="preserve">A company that needs cash before its customers pay can use its receivables in two ways. It can use them as collateral for a loan (pledging), or it can transfer them to a finance company called a factor. This is factoring. The accounting question is simple: is the transfer a sale, or is it really a loan?</w:t>
            </w:r>
          </w:p>
        </w:tc>
      </w:tr>
      <w:tr>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T</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book’s own table pairs Aging with “Current: 250,000 at an expected loss rate of 2%”.</w:t>
      </w:r>
    </w:p>
    <w:p>
      <w:pPr>
        <w:spacing w:after="18"/>
        <w:ind w:left="300" w:hanging="300"/>
      </w:pPr>
      <w:r>
        <w:rPr>
          <w:b/>
          <w:bCs/>
          <w:color w:val="8186EF"/>
          <w:sz w:val="16"/>
          <w:szCs w:val="16"/>
        </w:rPr>
        <w:t xml:space="preserve">2  </w:t>
      </w:r>
      <w:r>
        <w:rPr>
          <w:sz w:val="16"/>
          <w:szCs w:val="16"/>
        </w:rPr>
        <w:t xml:space="preserve">The book’s own table pairs Aging with “1–60 days past due: 90,000 at an expected loss rate of 10%”.</w:t>
      </w:r>
    </w:p>
    <w:p>
      <w:pPr>
        <w:spacing w:after="18"/>
        <w:ind w:left="300" w:hanging="300"/>
      </w:pPr>
      <w:r>
        <w:rPr>
          <w:b/>
          <w:bCs/>
          <w:color w:val="8186EF"/>
          <w:sz w:val="16"/>
          <w:szCs w:val="16"/>
        </w:rPr>
        <w:t xml:space="preserve">3  </w:t>
      </w:r>
      <w:r>
        <w:rPr>
          <w:sz w:val="16"/>
          <w:szCs w:val="16"/>
        </w:rPr>
        <w:t xml:space="preserve">The book’s own table pairs Aging with “Over 60 days past due: 40,000 at an expected loss rate of 40%”.</w:t>
      </w:r>
    </w:p>
    <w:p>
      <w:pPr>
        <w:spacing w:after="18"/>
        <w:ind w:left="300" w:hanging="300"/>
      </w:pPr>
      <w:r>
        <w:rPr>
          <w:b/>
          <w:bCs/>
          <w:color w:val="8186EF"/>
          <w:sz w:val="16"/>
          <w:szCs w:val="16"/>
        </w:rPr>
        <w:t xml:space="preserve">4  </w:t>
      </w:r>
      <w:r>
        <w:rPr>
          <w:sz w:val="16"/>
          <w:szCs w:val="16"/>
        </w:rPr>
        <w:t xml:space="preserve">The book’s own table pairs Allowance account with “Beginning balance 18,000 (credit). Write-offs during 2025: 24,000. Recoveries: 1,000.”.</w:t>
      </w:r>
    </w:p>
    <w:p>
      <w:pPr>
        <w:spacing w:after="18"/>
        <w:ind w:left="300" w:hanging="300"/>
      </w:pPr>
      <w:r>
        <w:rPr>
          <w:b/>
          <w:bCs/>
          <w:color w:val="8186EF"/>
          <w:sz w:val="16"/>
          <w:szCs w:val="16"/>
        </w:rPr>
        <w:t xml:space="preserve">5  </w:t>
      </w:r>
      <w:r>
        <w:rPr>
          <w:sz w:val="16"/>
          <w:szCs w:val="16"/>
        </w:rPr>
        <w:t xml:space="preserve">The book’s own table pairs Transfer T3 with “Receivables transferred to a bank, but Orontes must repurchase them before they mature.”.</w:t>
      </w:r>
    </w:p>
    <w:p>
      <w:pPr>
        <w:spacing w:after="18"/>
        <w:ind w:left="300" w:hanging="300"/>
      </w:pPr>
      <w:r>
        <w:rPr>
          <w:b/>
          <w:bCs/>
          <w:color w:val="8186EF"/>
          <w:sz w:val="16"/>
          <w:szCs w:val="16"/>
        </w:rPr>
        <w:t xml:space="preserve">6  </w:t>
      </w:r>
      <w:r>
        <w:rPr>
          <w:sz w:val="16"/>
          <w:szCs w:val="16"/>
        </w:rPr>
        <w:t xml:space="preserve">The book’s own table pairs Transfer T4 with “Receivables pledged as collateral for a bank loan; Orontes still collects them.”.</w:t>
      </w:r>
    </w:p>
    <w:p>
      <w:pPr>
        <w:spacing w:after="18"/>
        <w:ind w:left="300" w:hanging="300"/>
      </w:pPr>
      <w:r>
        <w:rPr>
          <w:b/>
          <w:bCs/>
          <w:color w:val="8186EF"/>
          <w:sz w:val="16"/>
          <w:szCs w:val="16"/>
        </w:rPr>
        <w:t xml:space="preserve">7  </w:t>
      </w:r>
      <w:r>
        <w:rPr>
          <w:sz w:val="16"/>
          <w:szCs w:val="16"/>
        </w:rPr>
        <w:t xml:space="preserve">The book’s own table pairs Transfer T2 details with “Carrying amount 200,000; factor's fee 2%; holdback 4%; fair value of the recourse obligation 3,000.”.</w:t>
      </w:r>
    </w:p>
    <w:p>
      <w:pPr>
        <w:spacing w:after="18"/>
        <w:ind w:left="300" w:hanging="300"/>
      </w:pPr>
      <w:r>
        <w:rPr>
          <w:b/>
          <w:bCs/>
          <w:color w:val="8186EF"/>
          <w:sz w:val="16"/>
          <w:szCs w:val="16"/>
        </w:rPr>
        <w:t xml:space="preserve">8  </w:t>
      </w:r>
      <w:r>
        <w:rPr>
          <w:sz w:val="16"/>
          <w:szCs w:val="16"/>
        </w:rPr>
        <w:t xml:space="preserve">The book pairs Aging with “Current: 250,000 at an expected loss rate of 2%”.</w:t>
      </w:r>
    </w:p>
    <w:p>
      <w:pPr>
        <w:spacing w:after="18"/>
        <w:ind w:left="300" w:hanging="300"/>
      </w:pPr>
      <w:r>
        <w:rPr>
          <w:b/>
          <w:bCs/>
          <w:color w:val="8186EF"/>
          <w:sz w:val="16"/>
          <w:szCs w:val="16"/>
        </w:rPr>
        <w:t xml:space="preserve">9  </w:t>
      </w:r>
      <w:r>
        <w:rPr>
          <w:sz w:val="16"/>
          <w:szCs w:val="16"/>
        </w:rPr>
        <w:t xml:space="preserve">The book pairs Aging with “1–60 days past due: 90,000 at an expected loss rate of 10%”, not with “Receivables transferred to a bank, but Orontes must repurchase them before they mature.”.</w:t>
      </w:r>
    </w:p>
    <w:p>
      <w:pPr>
        <w:spacing w:after="18"/>
        <w:ind w:left="300" w:hanging="300"/>
      </w:pPr>
      <w:r>
        <w:rPr>
          <w:b/>
          <w:bCs/>
          <w:color w:val="8186EF"/>
          <w:sz w:val="16"/>
          <w:szCs w:val="16"/>
        </w:rPr>
        <w:t xml:space="preserve">10  </w:t>
      </w:r>
      <w:r>
        <w:rPr>
          <w:sz w:val="16"/>
          <w:szCs w:val="16"/>
        </w:rPr>
        <w:t xml:space="preserve">The book pairs Aging with “Over 60 days past due: 40,000 at an expected loss rate of 40%”.</w:t>
      </w:r>
    </w:p>
    <w:p>
      <w:pPr>
        <w:spacing w:after="18"/>
        <w:ind w:left="300" w:hanging="300"/>
      </w:pPr>
      <w:r>
        <w:rPr>
          <w:b/>
          <w:bCs/>
          <w:color w:val="8186EF"/>
          <w:sz w:val="16"/>
          <w:szCs w:val="16"/>
        </w:rPr>
        <w:t xml:space="preserve">11  </w:t>
      </w:r>
      <w:r>
        <w:rPr>
          <w:sz w:val="16"/>
          <w:szCs w:val="16"/>
        </w:rPr>
        <w:t xml:space="preserve">The book pairs Aging with “Current: 250,000 at an expected loss rate of 2%”.</w:t>
      </w:r>
    </w:p>
    <w:p>
      <w:pPr>
        <w:spacing w:after="18"/>
        <w:ind w:left="300" w:hanging="300"/>
      </w:pPr>
      <w:r>
        <w:rPr>
          <w:b/>
          <w:bCs/>
          <w:color w:val="8186EF"/>
          <w:sz w:val="16"/>
          <w:szCs w:val="16"/>
        </w:rPr>
        <w:t xml:space="preserve">12  </w:t>
      </w:r>
      <w:r>
        <w:rPr>
          <w:sz w:val="16"/>
          <w:szCs w:val="16"/>
        </w:rPr>
        <w:t xml:space="preserve">The book’s own table pairs Aging with “Current: 250,000 at an expected loss rate of 2%”.</w:t>
      </w:r>
    </w:p>
    <w:p>
      <w:pPr>
        <w:spacing w:after="18"/>
        <w:ind w:left="300" w:hanging="300"/>
      </w:pPr>
      <w:r>
        <w:rPr>
          <w:b/>
          <w:bCs/>
          <w:color w:val="8186EF"/>
          <w:sz w:val="16"/>
          <w:szCs w:val="16"/>
        </w:rPr>
        <w:t xml:space="preserve">13  </w:t>
      </w:r>
      <w:r>
        <w:rPr>
          <w:sz w:val="16"/>
          <w:szCs w:val="16"/>
        </w:rPr>
        <w:t xml:space="preserve">The book’s own table pairs Aging with “1–60 days past due: 90,000 at an expected loss rate of 10%”.</w:t>
      </w:r>
    </w:p>
    <w:p>
      <w:pPr>
        <w:spacing w:after="18"/>
        <w:ind w:left="300" w:hanging="300"/>
      </w:pPr>
      <w:r>
        <w:rPr>
          <w:b/>
          <w:bCs/>
          <w:color w:val="8186EF"/>
          <w:sz w:val="16"/>
          <w:szCs w:val="16"/>
        </w:rPr>
        <w:t xml:space="preserve">14  </w:t>
      </w:r>
      <w:r>
        <w:rPr>
          <w:sz w:val="16"/>
          <w:szCs w:val="16"/>
        </w:rPr>
        <w:t xml:space="preserve">The book’s own table pairs Aging with “Over 60 days past due: 40,000 at an expected loss rate of 40%”.</w:t>
      </w:r>
    </w:p>
    <w:p>
      <w:pPr>
        <w:spacing w:after="18"/>
        <w:ind w:left="300" w:hanging="300"/>
      </w:pPr>
      <w:r>
        <w:rPr>
          <w:b/>
          <w:bCs/>
          <w:color w:val="8186EF"/>
          <w:sz w:val="16"/>
          <w:szCs w:val="16"/>
        </w:rPr>
        <w:t xml:space="preserve">15  </w:t>
      </w:r>
      <w:r>
        <w:rPr>
          <w:sz w:val="16"/>
          <w:szCs w:val="16"/>
        </w:rPr>
        <w:t xml:space="preserve">The book’s own table pairs Allowance account with “Beginning balance 18,000 (credit). Write-offs during 2025: 24,000. Recoveries: 1,000.”.</w:t>
      </w:r>
    </w:p>
    <w:p>
      <w:pPr>
        <w:spacing w:after="18"/>
        <w:ind w:left="300" w:hanging="300"/>
      </w:pPr>
      <w:r>
        <w:rPr>
          <w:b/>
          <w:bCs/>
          <w:color w:val="8186EF"/>
          <w:sz w:val="16"/>
          <w:szCs w:val="16"/>
        </w:rPr>
        <w:t xml:space="preserve">16  </w:t>
      </w:r>
      <w:r>
        <w:rPr>
          <w:sz w:val="16"/>
          <w:szCs w:val="16"/>
        </w:rPr>
        <w:t xml:space="preserve">The book pairs Aging with “Current: 250,000 at an expected loss rate of 2%”.</w:t>
      </w:r>
    </w:p>
    <w:p>
      <w:pPr>
        <w:spacing w:after="18"/>
        <w:ind w:left="300" w:hanging="300"/>
      </w:pPr>
      <w:r>
        <w:rPr>
          <w:b/>
          <w:bCs/>
          <w:color w:val="8186EF"/>
          <w:sz w:val="16"/>
          <w:szCs w:val="16"/>
        </w:rPr>
        <w:t xml:space="preserve">17  </w:t>
      </w:r>
      <w:r>
        <w:rPr>
          <w:sz w:val="16"/>
          <w:szCs w:val="16"/>
        </w:rPr>
        <w:t xml:space="preserve">The book pairs Aging with “1–60 days past due: 90,000 at an expected loss rate of 10%”, not with “Beginning balance 18,000 (credit). Write-offs during 2025: 24,000. Recoveries: 1,000.”.</w:t>
      </w:r>
    </w:p>
    <w:p>
      <w:pPr>
        <w:spacing w:after="18"/>
        <w:ind w:left="300" w:hanging="300"/>
      </w:pPr>
      <w:r>
        <w:rPr>
          <w:b/>
          <w:bCs/>
          <w:color w:val="8186EF"/>
          <w:sz w:val="16"/>
          <w:szCs w:val="16"/>
        </w:rPr>
        <w:t xml:space="preserve">18  </w:t>
      </w:r>
      <w:r>
        <w:rPr>
          <w:sz w:val="16"/>
          <w:szCs w:val="16"/>
        </w:rPr>
        <w:t xml:space="preserve">IFRS 9 focuses on risks and rewards; substantial recourse often keeps the risk with the seller. A is wrong: Under U.S. GAAP the ASC 860 conditions decide, and they are met. C is wrong: A U.S. GAAP sale with recourse records a recourse liability.</w:t>
      </w:r>
    </w:p>
    <w:p>
      <w:pPr>
        <w:spacing w:after="18"/>
        <w:ind w:left="300" w:hanging="300"/>
      </w:pPr>
      <w:r>
        <w:rPr>
          <w:b/>
          <w:bCs/>
          <w:color w:val="8186EF"/>
          <w:sz w:val="16"/>
          <w:szCs w:val="16"/>
        </w:rPr>
        <w:t xml:space="preserve">19  </w:t>
      </w:r>
      <w:r>
        <w:rPr>
          <w:sz w:val="16"/>
          <w:szCs w:val="16"/>
        </w:rPr>
        <w:t xml:space="preserve">It reduces receivables to the amount expected to be collected. A is wrong: It is a contra-asset, not a liability. B is wrong: The expense is a separate account; the allowance is the balance sheet total.</w:t>
      </w:r>
    </w:p>
    <w:p>
      <w:pPr>
        <w:spacing w:after="18"/>
        <w:ind w:left="300" w:hanging="300"/>
      </w:pPr>
      <w:r>
        <w:rPr>
          <w:b/>
          <w:bCs/>
          <w:color w:val="8186EF"/>
          <w:sz w:val="16"/>
          <w:szCs w:val="16"/>
        </w:rPr>
        <w:t xml:space="preserve">20  </w:t>
      </w:r>
      <w:r>
        <w:rPr>
          <w:sz w:val="16"/>
          <w:szCs w:val="16"/>
        </w:rPr>
        <w:t xml:space="preserve">The expected loss is matched with the revenue of the same period. A is wrong: No cash moves when the expense is recorded. B is wrong: The direct method waits until a balance is written off.</w:t>
      </w:r>
    </w:p>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6.4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6.1: Recognizing and measuring receivables. 6.2: The allowance for credit losses. 6.3: Transferring receivables: sale or secured borrowing?.</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Orontes has performed, but its right to payment still depends on the second shipment, not only on time. B is wrong: A receivable needs an unconditional right to payment. C is wrong: Orontes has transferred control of the first shipment, so it records something now.</w:t>
      </w:r>
    </w:p>
    <w:p>
      <w:pPr>
        <w:spacing w:after="18"/>
        <w:ind w:left="300" w:hanging="300"/>
      </w:pPr>
      <w:r>
        <w:rPr>
          <w:b/>
          <w:bCs/>
          <w:color w:val="8186EF"/>
          <w:sz w:val="16"/>
          <w:szCs w:val="16"/>
        </w:rPr>
        <w:t xml:space="preserve">2  </w:t>
      </w:r>
      <w:r>
        <w:rPr>
          <w:sz w:val="16"/>
          <w:szCs w:val="16"/>
        </w:rPr>
        <w:t xml:space="preserve">Receivables are recorded at the transaction price; expected discounts and returns are variable consideration. Short-term receivables are not discounted. A is wrong: Receivables due within one year are not discounted. B is wrong: That is the older gross method; expected discounts are variable consideration today.</w:t>
      </w:r>
    </w:p>
    <w:p>
      <w:pPr>
        <w:spacing w:after="18"/>
        <w:ind w:left="300" w:hanging="300"/>
      </w:pPr>
      <w:r>
        <w:rPr>
          <w:b/>
          <w:bCs/>
          <w:color w:val="8186EF"/>
          <w:sz w:val="16"/>
          <w:szCs w:val="16"/>
        </w:rPr>
        <w:t xml:space="preserve">3  </w:t>
      </w:r>
      <w:r>
        <w:rPr>
          <w:sz w:val="16"/>
          <w:szCs w:val="16"/>
        </w:rPr>
        <w:t xml:space="preserve">The allowance must move from a 3,000 debit to a 20,000 credit, so the expense is 23,000. A is wrong: This is only the existing debit balance. B is wrong: This subtracts a debit balance instead of adding it.</w:t>
      </w:r>
    </w:p>
    <w:p>
      <w:pPr>
        <w:spacing w:after="18"/>
        <w:ind w:left="300" w:hanging="300"/>
      </w:pPr>
      <w:r>
        <w:rPr>
          <w:b/>
          <w:bCs/>
          <w:color w:val="8186EF"/>
          <w:sz w:val="16"/>
          <w:szCs w:val="16"/>
        </w:rPr>
        <w:t xml:space="preserve">4  </w:t>
      </w:r>
      <w:r>
        <w:rPr>
          <w:sz w:val="16"/>
          <w:szCs w:val="16"/>
        </w:rPr>
        <w:t xml:space="preserve">Both accounts receivable and the allowance decrease by 4,000, so the net amount is unchanged. The expense was recorded earlier. A is wrong: The expense was recorded when the allowance was set up. C is wrong: Receivables and the allowance fall by the same amount.</w:t>
      </w:r>
    </w:p>
    <w:p>
      <w:pPr>
        <w:spacing w:after="18"/>
        <w:ind w:left="300" w:hanging="300"/>
      </w:pPr>
      <w:r>
        <w:rPr>
          <w:b/>
          <w:bCs/>
          <w:color w:val="8186EF"/>
          <w:sz w:val="16"/>
          <w:szCs w:val="16"/>
        </w:rPr>
        <w:t xml:space="preserve">5  </w:t>
      </w:r>
      <w:r>
        <w:rPr>
          <w:sz w:val="16"/>
          <w:szCs w:val="16"/>
        </w:rPr>
        <w:t xml:space="preserve">The repurchase duty means Orontes keeps effective control, so the sale conditions fail. A is wrong: Effective control prevents sale accounting whatever the recourse terms. B is wrong: The transfer fails the effective-control condition.</w:t>
      </w:r>
    </w:p>
    <w:p>
      <w:pPr>
        <w:spacing w:after="18"/>
        <w:ind w:left="300" w:hanging="300"/>
      </w:pPr>
      <w:r>
        <w:rPr>
          <w:b/>
          <w:bCs/>
          <w:color w:val="8186EF"/>
          <w:sz w:val="16"/>
          <w:szCs w:val="16"/>
        </w:rPr>
        <w:t xml:space="preserve">6  </w:t>
      </w:r>
      <w:r>
        <w:rPr>
          <w:sz w:val="16"/>
          <w:szCs w:val="16"/>
        </w:rPr>
        <w:t xml:space="preserve">The book numbers “Recognizing and measuring receivables” as section 6.1.</w:t>
      </w:r>
    </w:p>
    <w:p>
      <w:pPr>
        <w:spacing w:after="18"/>
        <w:ind w:left="300" w:hanging="300"/>
      </w:pPr>
      <w:r>
        <w:rPr>
          <w:b/>
          <w:bCs/>
          <w:color w:val="8186EF"/>
          <w:sz w:val="16"/>
          <w:szCs w:val="16"/>
        </w:rPr>
        <w:t xml:space="preserve">7  </w:t>
      </w:r>
      <w:r>
        <w:rPr>
          <w:sz w:val="16"/>
          <w:szCs w:val="16"/>
        </w:rPr>
        <w:t xml:space="preserve">The book numbers “The allowance for credit losses” as section 6.2.</w:t>
      </w:r>
    </w:p>
    <w:p>
      <w:pPr>
        <w:spacing w:after="18"/>
        <w:ind w:left="300" w:hanging="300"/>
      </w:pPr>
      <w:r>
        <w:rPr>
          <w:b/>
          <w:bCs/>
          <w:color w:val="8186EF"/>
          <w:sz w:val="16"/>
          <w:szCs w:val="16"/>
        </w:rPr>
        <w:t xml:space="preserve">8  </w:t>
      </w:r>
      <w:r>
        <w:rPr>
          <w:sz w:val="16"/>
          <w:szCs w:val="16"/>
        </w:rPr>
        <w:t xml:space="preserve">The book numbers “Transferring receivables: sale or secured borrowing?” as section 6.3.</w:t>
      </w:r>
    </w:p>
    <w:p>
      <w:pPr>
        <w:spacing w:after="18"/>
        <w:ind w:left="300" w:hanging="300"/>
      </w:pPr>
      <w:r>
        <w:rPr>
          <w:b/>
          <w:bCs/>
          <w:color w:val="8186EF"/>
          <w:sz w:val="16"/>
          <w:szCs w:val="16"/>
        </w:rPr>
        <w:t xml:space="preserve">9  </w:t>
      </w:r>
      <w:r>
        <w:rPr>
          <w:sz w:val="16"/>
          <w:szCs w:val="16"/>
        </w:rPr>
        <w:t xml:space="preserve">The map shows the order the decisions have to be taken in.</w:t>
      </w:r>
    </w:p>
    <w:p>
      <w:pPr>
        <w:spacing w:after="18"/>
        <w:ind w:left="300" w:hanging="300"/>
      </w:pPr>
      <w:r>
        <w:rPr>
          <w:b/>
          <w:bCs/>
          <w:color w:val="8186EF"/>
          <w:sz w:val="16"/>
          <w:szCs w:val="16"/>
        </w:rPr>
        <w:t xml:space="preserve">10  </w:t>
      </w:r>
      <w:r>
        <w:rPr>
          <w:sz w:val="16"/>
          <w:szCs w:val="16"/>
        </w:rPr>
        <w:t xml:space="preserve">The book numbers it 6.1.</w:t>
      </w:r>
    </w:p>
    <w:p>
      <w:pPr>
        <w:spacing w:after="18"/>
        <w:ind w:left="300" w:hanging="300"/>
      </w:pPr>
      <w:r>
        <w:rPr>
          <w:b/>
          <w:bCs/>
          <w:color w:val="8186EF"/>
          <w:sz w:val="16"/>
          <w:szCs w:val="16"/>
        </w:rPr>
        <w:t xml:space="preserve">11  </w:t>
      </w:r>
      <w:r>
        <w:rPr>
          <w:sz w:val="16"/>
          <w:szCs w:val="16"/>
        </w:rPr>
        <w:t xml:space="preserve">The book numbers it 6.2.</w:t>
      </w:r>
    </w:p>
    <w:p>
      <w:pPr>
        <w:spacing w:after="18"/>
        <w:ind w:left="300" w:hanging="300"/>
      </w:pPr>
      <w:r>
        <w:rPr>
          <w:b/>
          <w:bCs/>
          <w:color w:val="8186EF"/>
          <w:sz w:val="16"/>
          <w:szCs w:val="16"/>
        </w:rPr>
        <w:t xml:space="preserve">12  </w:t>
      </w:r>
      <w:r>
        <w:rPr>
          <w:sz w:val="16"/>
          <w:szCs w:val="16"/>
        </w:rPr>
        <w:t xml:space="preserve">The book numbers it 6.3.</w:t>
      </w:r>
    </w:p>
    <w:p>
      <w:pPr>
        <w:spacing w:after="18"/>
        <w:ind w:left="300" w:hanging="300"/>
      </w:pPr>
      <w:r>
        <w:rPr>
          <w:b/>
          <w:bCs/>
          <w:color w:val="8186EF"/>
          <w:sz w:val="16"/>
          <w:szCs w:val="16"/>
        </w:rPr>
        <w:t xml:space="preserve">16  </w:t>
      </w:r>
      <w:r>
        <w:rPr>
          <w:sz w:val="16"/>
          <w:szCs w:val="16"/>
        </w:rPr>
        <w:t xml:space="preserve">The repurchase duty means Orontes keeps effective control, so the sale conditions fail. A is wrong: Effective control prevents sale accounting whatever the recourse terms. B is wrong: The transfer fails the effective-control condition.</w:t>
      </w:r>
    </w:p>
    <w:p>
      <w:pPr>
        <w:spacing w:after="18"/>
        <w:ind w:left="300" w:hanging="300"/>
      </w:pPr>
      <w:r>
        <w:rPr>
          <w:b/>
          <w:bCs/>
          <w:color w:val="8186EF"/>
          <w:sz w:val="16"/>
          <w:szCs w:val="16"/>
        </w:rPr>
        <w:t xml:space="preserve">17  </w:t>
      </w:r>
      <w:r>
        <w:rPr>
          <w:sz w:val="16"/>
          <w:szCs w:val="16"/>
        </w:rPr>
        <w:t xml:space="preserve">Orontes has performed, but its right to payment still depends on the second shipment, not only on time. B is wrong: A receivable needs an unconditional right to payment. C is wrong: Orontes has transferred control of the first shipment, so it records something now.</w:t>
      </w:r>
    </w:p>
    <w:p>
      <w:pPr>
        <w:spacing w:after="18"/>
        <w:ind w:left="300" w:hanging="300"/>
      </w:pPr>
      <w:r>
        <w:rPr>
          <w:b/>
          <w:bCs/>
          <w:color w:val="8186EF"/>
          <w:sz w:val="16"/>
          <w:szCs w:val="16"/>
        </w:rPr>
        <w:t xml:space="preserve">18  </w:t>
      </w:r>
      <w:r>
        <w:rPr>
          <w:sz w:val="16"/>
          <w:szCs w:val="16"/>
        </w:rPr>
        <w:t xml:space="preserve">Every later answer depends on the adjusted exhibit.</w:t>
      </w:r>
    </w:p>
    <w:p>
      <w:pPr>
        <w:spacing w:after="18"/>
        <w:ind w:left="300" w:hanging="300"/>
      </w:pPr>
      <w:r>
        <w:rPr>
          <w:b/>
          <w:bCs/>
          <w:color w:val="8186EF"/>
          <w:sz w:val="16"/>
          <w:szCs w:val="16"/>
        </w:rPr>
        <w:t xml:space="preserve">19  </w:t>
      </w:r>
      <w:r>
        <w:rPr>
          <w:sz w:val="16"/>
          <w:szCs w:val="16"/>
        </w:rPr>
        <w:t xml:space="preserve">The book states item C6-1 in those words.</w:t>
      </w:r>
    </w:p>
    <w:p>
      <w:pPr>
        <w:spacing w:after="18"/>
        <w:ind w:left="300" w:hanging="300"/>
      </w:pPr>
      <w:r>
        <w:rPr>
          <w:b/>
          <w:bCs/>
          <w:color w:val="8186EF"/>
          <w:sz w:val="16"/>
          <w:szCs w:val="16"/>
        </w:rPr>
        <w:t xml:space="preserve">20  </w:t>
      </w:r>
      <w:r>
        <w:rPr>
          <w:sz w:val="16"/>
          <w:szCs w:val="16"/>
        </w:rPr>
        <w:t xml:space="preserve">The book states item C6-2 in those words.</w:t>
      </w:r>
    </w:p>
    <w:p>
      <w:pPr>
        <w:spacing w:after="18"/>
        <w:ind w:left="300" w:hanging="300"/>
      </w:pPr>
      <w:r>
        <w:rPr>
          <w:b/>
          <w:bCs/>
          <w:color w:val="8186EF"/>
          <w:sz w:val="16"/>
          <w:szCs w:val="16"/>
        </w:rPr>
        <w:t xml:space="preserve">21  </w:t>
      </w:r>
      <w:r>
        <w:rPr>
          <w:sz w:val="16"/>
          <w:szCs w:val="16"/>
        </w:rPr>
        <w:t xml:space="preserve">The book states item C6-3 in those words.</w:t>
      </w:r>
    </w:p>
    <w:p>
      <w:pPr>
        <w:spacing w:after="18"/>
        <w:ind w:left="300" w:hanging="300"/>
      </w:pPr>
      <w:r>
        <w:rPr>
          <w:b/>
          <w:bCs/>
          <w:color w:val="8186EF"/>
          <w:sz w:val="16"/>
          <w:szCs w:val="16"/>
        </w:rPr>
        <w:t xml:space="preserve">22  </w:t>
      </w:r>
      <w:r>
        <w:rPr>
          <w:sz w:val="16"/>
          <w:szCs w:val="16"/>
        </w:rPr>
        <w:t xml:space="preserve">The book states item C6-4 in those words.</w:t>
      </w:r>
    </w:p>
    <w:p>
      <w:pPr>
        <w:spacing w:after="18"/>
        <w:ind w:left="300" w:hanging="300"/>
      </w:pPr>
      <w:r>
        <w:rPr>
          <w:b/>
          <w:bCs/>
          <w:color w:val="8186EF"/>
          <w:sz w:val="16"/>
          <w:szCs w:val="16"/>
        </w:rPr>
        <w:t xml:space="preserve">23  </w:t>
      </w:r>
      <w:r>
        <w:rPr>
          <w:sz w:val="16"/>
          <w:szCs w:val="16"/>
        </w:rPr>
        <w:t xml:space="preserve">The book states item C6-5 in those words.</w:t>
      </w:r>
    </w:p>
    <w:p/>
    <w:p>
      <w:pPr>
        <w:sectPr>
          <w:headerReference w:type="default" r:id="rIdHdr4"/>
          <w:pgSz w:w="11906" w:h="16838" w:orient="portrait"/>
          <w:pgMar w:top="1180" w:right="1000" w:bottom="900" w:left="1000" w:header="708" w:footer="708" w:gutter="0"/>
          <w:docGrid w:linePitch="360"/>
          <w:pgNumType w:start="1"/>
        </w:sectPr>
      </w:pPr>
    </w:p>
    <w:sectPr>
      <w:headerReference w:type="default" r:id="rIdHdr4"/>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6.1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6.2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6.3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6.4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6 — answer keys</dc:title>
  <dc:subject>Receivables: Credit Losses and Transfers</dc:subject>
  <cp:category>Student Book</cp:category>
</cp:coreProperties>
</file>