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officedocument.wordprocessingml.numbering+xml" PartName="/word/numbering.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package.core-properties+xml" PartName="/docProps/cor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body>
    <w:p>
      <w:pPr>
        <w:spacing w:after="0" w:before="0"/>
      </w:pPr>
      <w:r>
        <w:drawing>
          <wp:inline distT="0" distB="0" distL="0" distR="0">
            <wp:extent cx="7562850" cy="1068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7562850" cy="10687050"/>
                    </a:xfrm>
                    <a:prstGeom prst="rect">
                      <a:avLst/>
                    </a:prstGeom>
                  </pic:spPr>
                </pic:pic>
              </a:graphicData>
            </a:graphic>
          </wp:inline>
        </w:drawing>
      </w:r>
    </w:p>
    <w:p>
      <w:pPr>
        <w:sectPr>
          <w:pgSz w:w="11906" w:h="16838" w:orient="portrait"/>
          <w:pgMar w:top="0" w:right="0" w:bottom="0" w:left="0" w:header="708" w:footer="708" w:gutter="0"/>
          <w:pgNumType/>
          <w:docGrid w:linePitch="360"/>
        </w:sectPr>
      </w:pPr>
    </w:p>
    <w:p>
      <w:pPr>
        <w:spacing w:after="20" w:before="60"/>
      </w:pPr>
      <w:r>
        <w:rPr>
          <w:b/>
          <w:bCs/>
          <w:color w:val="353A7C"/>
          <w:sz w:val="40"/>
          <w:szCs w:val="40"/>
        </w:rPr>
        <w:t xml:space="preserve">CMA Part 1 · Volume 15</w:t>
      </w:r>
    </w:p>
    <w:p>
      <w:pPr>
        <w:spacing w:after="8"/>
      </w:pPr>
      <w:r>
        <w:rPr>
          <w:color w:val="23265A"/>
          <w:sz w:val="22"/>
          <w:szCs w:val="22"/>
        </w:rPr>
        <w:t xml:space="preserve">Earnings Per Share</w:t>
      </w:r>
    </w:p>
    <w:p>
      <w:pPr>
        <w:spacing w:after="130"/>
      </w:pPr>
      <w:r>
        <w:rPr>
          <w:color w:val="6B7280"/>
          <w:sz w:val="20"/>
          <w:szCs w:val="20"/>
        </w:rPr>
        <w:t xml:space="preserve">Three handouts, one answer key. One line of the Learning Outcome Statements, and a whole chapter of intermediate accounting behind it.</w:t>
      </w:r>
    </w:p>
    <w:p>
      <w:pPr>
        <w:spacing w:after="60"/>
      </w:pPr>
      <w:r>
        <w:rPr>
          <w:sz w:val="21"/>
          <w:szCs w:val="21"/>
        </w:rPr>
        <w:t xml:space="preserve">These handouts are not notes to read. You write them. The words you supply are the summary, so a finished handout is a page you can revise from, in your own handwriting.</w:t>
      </w:r>
    </w:p>
    <w:p>
      <w:pPr>
        <w:spacing w:after="60"/>
      </w:pPr>
      <w:r>
        <w:rPr>
          <w:sz w:val="21"/>
          <w:szCs w:val="21"/>
        </w:rPr>
        <w:t xml:space="preserve">Work in pen. Do not look at the key until the whole handout is done — the key is written to explain the mistake, and you only get that benefit if you have made it first.</w:t>
      </w:r>
    </w:p>
    <w:p>
      <w:pPr>
        <w:spacing w:after="40" w:before="130"/>
      </w:pPr>
      <w:r>
        <w:rPr>
          <w:b/>
          <w:bCs/>
          <w:color w:val="23265A"/>
          <w:sz w:val="24"/>
          <w:szCs w:val="24"/>
        </w:rPr>
        <w:t xml:space="preserve">The three handouts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6"/>
        <w:gridCol w:w="32"/>
        <w:gridCol w:w="62"/>
      </w:tblGrid>
      <w:tr>
        <w:tc>
          <w:tcPr>
            <w:shd w:fill="353A7C" w:val="clear"/>
            <w:tcMar>
              <w:top w:type="dxa" w:w="60"/>
              <w:left w:type="dxa" w:w="120"/>
              <w:bottom w:type="dxa" w:w="60"/>
              <w:right w:type="dxa" w:w="120"/>
            </w:tcMar>
          </w:tcPr>
          <w:p>
            <w:r>
              <w:rPr>
                <w:b/>
                <w:bCs/>
                <w:color w:val="FFFFFF"/>
                <w:sz w:val="19"/>
                <w:szCs w:val="19"/>
              </w:rPr>
              <w:t xml:space="preserve">#</w:t>
            </w:r>
          </w:p>
        </w:tc>
        <w:tc>
          <w:tcPr>
            <w:shd w:fill="353A7C" w:val="clear"/>
            <w:tcMar>
              <w:top w:type="dxa" w:w="60"/>
              <w:left w:type="dxa" w:w="120"/>
              <w:bottom w:type="dxa" w:w="60"/>
              <w:right w:type="dxa" w:w="120"/>
            </w:tcMar>
          </w:tcPr>
          <w:p>
            <w:r>
              <w:rPr>
                <w:b/>
                <w:bCs/>
                <w:color w:val="FFFFFF"/>
                <w:sz w:val="19"/>
                <w:szCs w:val="19"/>
              </w:rPr>
              <w:t xml:space="preserve">Handout</w:t>
            </w:r>
          </w:p>
        </w:tc>
        <w:tc>
          <w:tcPr>
            <w:shd w:fill="353A7C" w:val="clear"/>
            <w:tcMar>
              <w:top w:type="dxa" w:w="60"/>
              <w:left w:type="dxa" w:w="120"/>
              <w:bottom w:type="dxa" w:w="60"/>
              <w:right w:type="dxa" w:w="120"/>
            </w:tcMar>
          </w:tcPr>
          <w:p>
            <w:r>
              <w:rPr>
                <w:b/>
                <w:bCs/>
                <w:color w:val="FFFFFF"/>
                <w:sz w:val="19"/>
                <w:szCs w:val="19"/>
              </w:rPr>
              <w:t xml:space="preserve">What it gives you</w:t>
            </w:r>
          </w:p>
        </w:tc>
      </w:tr>
      <w:tr>
        <w:tc>
          <w:tcPr>
            <w:tcMar>
              <w:top w:type="dxa" w:w="60"/>
              <w:left w:type="dxa" w:w="120"/>
              <w:bottom w:type="dxa" w:w="60"/>
              <w:right w:type="dxa" w:w="120"/>
            </w:tcMar>
          </w:tcPr>
          <w:p>
            <w:r>
              <w:rPr>
                <w:sz w:val="19"/>
                <w:szCs w:val="19"/>
              </w:rPr>
              <w:t xml:space="preserve">1</w:t>
            </w:r>
          </w:p>
        </w:tc>
        <w:tc>
          <w:tcPr>
            <w:tcMar>
              <w:top w:type="dxa" w:w="60"/>
              <w:left w:type="dxa" w:w="120"/>
              <w:bottom w:type="dxa" w:w="60"/>
              <w:right w:type="dxa" w:w="120"/>
            </w:tcMar>
          </w:tcPr>
          <w:p>
            <w:r>
              <w:rPr>
                <w:sz w:val="19"/>
                <w:szCs w:val="19"/>
              </w:rPr>
              <w:t xml:space="preserve">Basic EPS and the Weighted Average Share Count</w:t>
            </w:r>
          </w:p>
        </w:tc>
        <w:tc>
          <w:tcPr>
            <w:tcMar>
              <w:top w:type="dxa" w:w="60"/>
              <w:left w:type="dxa" w:w="120"/>
              <w:bottom w:type="dxa" w:w="60"/>
              <w:right w:type="dxa" w:w="120"/>
            </w:tcMar>
          </w:tcPr>
          <w:p>
            <w:r>
              <w:rPr>
                <w:sz w:val="19"/>
                <w:szCs w:val="19"/>
              </w:rPr>
              <w:t xml:space="preserve">Northwind earned $510,000 on an average of 291,750 shares. The hard part is the 291,750, and Volume 8 already has every movement in it.</w:t>
            </w:r>
          </w:p>
        </w:tc>
      </w:tr>
      <w:tr>
        <w:tc>
          <w:tcPr>
            <w:tcMar>
              <w:top w:type="dxa" w:w="60"/>
              <w:left w:type="dxa" w:w="120"/>
              <w:bottom w:type="dxa" w:w="60"/>
              <w:right w:type="dxa" w:w="120"/>
            </w:tcMar>
          </w:tcPr>
          <w:p>
            <w:r>
              <w:rPr>
                <w:sz w:val="19"/>
                <w:szCs w:val="19"/>
              </w:rPr>
              <w:t xml:space="preserve">2</w:t>
            </w:r>
          </w:p>
        </w:tc>
        <w:tc>
          <w:tcPr>
            <w:tcMar>
              <w:top w:type="dxa" w:w="60"/>
              <w:left w:type="dxa" w:w="120"/>
              <w:bottom w:type="dxa" w:w="60"/>
              <w:right w:type="dxa" w:w="120"/>
            </w:tcMar>
          </w:tcPr>
          <w:p>
            <w:r>
              <w:rPr>
                <w:sz w:val="19"/>
                <w:szCs w:val="19"/>
              </w:rPr>
              <w:t xml:space="preserve">Dilution: Options, Warrants and the Treasury Stock Method</w:t>
            </w:r>
          </w:p>
        </w:tc>
        <w:tc>
          <w:tcPr>
            <w:tcMar>
              <w:top w:type="dxa" w:w="60"/>
              <w:left w:type="dxa" w:w="120"/>
              <w:bottom w:type="dxa" w:w="60"/>
              <w:right w:type="dxa" w:w="120"/>
            </w:tcMar>
          </w:tcPr>
          <w:p>
            <w:r>
              <w:rPr>
                <w:sz w:val="19"/>
                <w:szCs w:val="19"/>
              </w:rPr>
              <w:t xml:space="preserve">30,000 options at $6, when the shares average $9. Only 10,000 of them dilute anything, and the method shows why.</w:t>
            </w:r>
          </w:p>
        </w:tc>
      </w:tr>
      <w:tr>
        <w:tc>
          <w:tcPr>
            <w:tcMar>
              <w:top w:type="dxa" w:w="60"/>
              <w:left w:type="dxa" w:w="120"/>
              <w:bottom w:type="dxa" w:w="60"/>
              <w:right w:type="dxa" w:w="120"/>
            </w:tcMar>
          </w:tcPr>
          <w:p>
            <w:r>
              <w:rPr>
                <w:sz w:val="19"/>
                <w:szCs w:val="19"/>
              </w:rPr>
              <w:t xml:space="preserve">3</w:t>
            </w:r>
          </w:p>
        </w:tc>
        <w:tc>
          <w:tcPr>
            <w:tcMar>
              <w:top w:type="dxa" w:w="60"/>
              <w:left w:type="dxa" w:w="120"/>
              <w:bottom w:type="dxa" w:w="60"/>
              <w:right w:type="dxa" w:w="120"/>
            </w:tcMar>
          </w:tcPr>
          <w:p>
            <w:r>
              <w:rPr>
                <w:sz w:val="19"/>
                <w:szCs w:val="19"/>
              </w:rPr>
              <w:t xml:space="preserve">Convertibles, the If-Converted Method, and Antidilution</w:t>
            </w:r>
          </w:p>
        </w:tc>
        <w:tc>
          <w:tcPr>
            <w:tcMar>
              <w:top w:type="dxa" w:w="60"/>
              <w:left w:type="dxa" w:w="120"/>
              <w:bottom w:type="dxa" w:w="60"/>
              <w:right w:type="dxa" w:w="120"/>
            </w:tcMar>
          </w:tcPr>
          <w:p>
            <w:r>
              <w:rPr>
                <w:sz w:val="19"/>
                <w:szCs w:val="19"/>
              </w:rPr>
              <w:t xml:space="preserve">Northwind’s basic $1.75 falls to $1.65 once the options and the bond go in. A third security would raise it, so it stays out.</w:t>
            </w:r>
          </w:p>
        </w:tc>
      </w:tr>
    </w:tbl>
    <w:p/>
    <w:p>
      <w:pPr>
        <w:spacing w:after="40" w:before="90"/>
        <w:jc w:val="center"/>
      </w:pPr>
      <w:r>
        <w:drawing>
          <wp:inline distT="0" distB="0" distL="0" distR="0">
            <wp:extent cx="5734050" cy="756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5734050" cy="7568950"/>
                    </a:xfrm>
                    <a:prstGeom prst="rect">
                      <a:avLst/>
                    </a:prstGeom>
                  </pic:spPr>
                </pic:pic>
              </a:graphicData>
            </a:graphic>
          </wp:inline>
        </w:drawing>
      </w:r>
    </w:p>
    <w:p>
      <w:pPr>
        <w:spacing w:after="40" w:before="130"/>
      </w:pPr>
      <w:r>
        <w:rPr>
          <w:b/>
          <w:bCs/>
          <w:color w:val="23265A"/>
          <w:sz w:val="24"/>
          <w:szCs w:val="24"/>
        </w:rPr>
        <w:t xml:space="preserve">How to read the markers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14"/>
        <w:gridCol w:w="86"/>
      </w:tblGrid>
      <w:tr>
        <w:tc>
          <w:tcPr>
            <w:shd w:fill="6B7280" w:val="clear"/>
            <w:tcMar>
              <w:top w:type="dxa" w:w="60"/>
              <w:left w:type="dxa" w:w="120"/>
              <w:bottom w:type="dxa" w:w="60"/>
              <w:right w:type="dxa" w:w="120"/>
            </w:tcMar>
          </w:tcPr>
          <w:p>
            <w:r>
              <w:rPr>
                <w:b/>
                <w:bCs/>
                <w:color w:val="FFFFFF"/>
                <w:sz w:val="19"/>
                <w:szCs w:val="19"/>
              </w:rPr>
              <w:t xml:space="preserve">Marker</w:t>
            </w:r>
          </w:p>
        </w:tc>
        <w:tc>
          <w:tcPr>
            <w:shd w:fill="6B7280" w:val="clear"/>
            <w:tcMar>
              <w:top w:type="dxa" w:w="60"/>
              <w:left w:type="dxa" w:w="120"/>
              <w:bottom w:type="dxa" w:w="60"/>
              <w:right w:type="dxa" w:w="120"/>
            </w:tcMar>
          </w:tcPr>
          <w:p>
            <w:r>
              <w:rPr>
                <w:b/>
                <w:bCs/>
                <w:color w:val="FFFFFF"/>
                <w:sz w:val="19"/>
                <w:szCs w:val="19"/>
              </w:rPr>
              <w:t xml:space="preserve">Meaning</w:t>
            </w:r>
          </w:p>
        </w:tc>
      </w:tr>
      <w:tr>
        <w:tc>
          <w:tcPr>
            <w:tcMar>
              <w:top w:type="dxa" w:w="60"/>
              <w:left w:type="dxa" w:w="120"/>
              <w:bottom w:type="dxa" w:w="60"/>
              <w:right w:type="dxa" w:w="120"/>
            </w:tcMar>
          </w:tcPr>
          <w:p>
            <w:r>
              <w:rPr>
                <w:sz w:val="19"/>
                <w:szCs w:val="19"/>
              </w:rPr>
              <w:t xml:space="preserve">R1</w:t>
            </w:r>
          </w:p>
        </w:tc>
        <w:tc>
          <w:tcPr>
            <w:tcMar>
              <w:top w:type="dxa" w:w="60"/>
              <w:left w:type="dxa" w:w="120"/>
              <w:bottom w:type="dxa" w:w="60"/>
              <w:right w:type="dxa" w:w="120"/>
            </w:tcMar>
          </w:tcPr>
          <w:p>
            <w:r>
              <w:rPr>
                <w:sz w:val="19"/>
                <w:szCs w:val="19"/>
              </w:rPr>
              <w:t xml:space="preserve">Teaching English. Short sentences. This is where a new idea arrives.</w:t>
            </w:r>
          </w:p>
        </w:tc>
      </w:tr>
      <w:tr>
        <w:tc>
          <w:tcPr>
            <w:tcMar>
              <w:top w:type="dxa" w:w="60"/>
              <w:left w:type="dxa" w:w="120"/>
              <w:bottom w:type="dxa" w:w="60"/>
              <w:right w:type="dxa" w:w="120"/>
            </w:tcMar>
          </w:tcPr>
          <w:p>
            <w:r>
              <w:rPr>
                <w:sz w:val="19"/>
                <w:szCs w:val="19"/>
              </w:rPr>
              <w:t xml:space="preserve">R2</w:t>
            </w:r>
          </w:p>
        </w:tc>
        <w:tc>
          <w:tcPr>
            <w:tcMar>
              <w:top w:type="dxa" w:w="60"/>
              <w:left w:type="dxa" w:w="120"/>
              <w:bottom w:type="dxa" w:w="60"/>
              <w:right w:type="dxa" w:w="120"/>
            </w:tcMar>
          </w:tcPr>
          <w:p>
            <w:r>
              <w:rPr>
                <w:sz w:val="19"/>
                <w:szCs w:val="19"/>
              </w:rPr>
              <w:t xml:space="preserve">Textbook English. Longer sentences and passive verbs, as a textbook writes them.</w:t>
            </w:r>
          </w:p>
        </w:tc>
      </w:tr>
      <w:tr>
        <w:tc>
          <w:tcPr>
            <w:tcMar>
              <w:top w:type="dxa" w:w="60"/>
              <w:left w:type="dxa" w:w="120"/>
              <w:bottom w:type="dxa" w:w="60"/>
              <w:right w:type="dxa" w:w="120"/>
            </w:tcMar>
          </w:tcPr>
          <w:p>
            <w:r>
              <w:rPr>
                <w:sz w:val="19"/>
                <w:szCs w:val="19"/>
              </w:rPr>
              <w:t xml:space="preserve">R3</w:t>
            </w:r>
          </w:p>
        </w:tc>
        <w:tc>
          <w:tcPr>
            <w:tcMar>
              <w:top w:type="dxa" w:w="60"/>
              <w:left w:type="dxa" w:w="120"/>
              <w:bottom w:type="dxa" w:w="60"/>
              <w:right w:type="dxa" w:w="120"/>
            </w:tcMar>
          </w:tcPr>
          <w:p>
            <w:r>
              <w:rPr>
                <w:sz w:val="19"/>
                <w:szCs w:val="19"/>
              </w:rPr>
              <w:t xml:space="preserve">Exam English. Exactly how the CMA exam phrases it, traps included.</w:t>
            </w:r>
          </w:p>
        </w:tc>
      </w:tr>
      <w:tr>
        <w:tc>
          <w:tcPr>
            <w:tcMar>
              <w:top w:type="dxa" w:w="60"/>
              <w:left w:type="dxa" w:w="120"/>
              <w:bottom w:type="dxa" w:w="60"/>
              <w:right w:type="dxa" w:w="120"/>
            </w:tcMar>
          </w:tcPr>
          <w:p>
            <w:r>
              <w:rPr>
                <w:sz w:val="19"/>
                <w:szCs w:val="19"/>
              </w:rPr>
              <w:t xml:space="preserve">Numbered rule</w:t>
            </w:r>
          </w:p>
        </w:tc>
        <w:tc>
          <w:tcPr>
            <w:tcMar>
              <w:top w:type="dxa" w:w="60"/>
              <w:left w:type="dxa" w:w="120"/>
              <w:bottom w:type="dxa" w:w="60"/>
              <w:right w:type="dxa" w:w="120"/>
            </w:tcMar>
          </w:tcPr>
          <w:p>
            <w:r>
              <w:rPr>
                <w:sz w:val="19"/>
                <w:szCs w:val="19"/>
              </w:rPr>
              <w:t xml:space="preserve">A space you fill in. The number matches the answer key.</w:t>
            </w:r>
          </w:p>
        </w:tc>
      </w:tr>
      <w:tr>
        <w:tc>
          <w:tcPr>
            <w:tcMar>
              <w:top w:type="dxa" w:w="60"/>
              <w:left w:type="dxa" w:w="120"/>
              <w:bottom w:type="dxa" w:w="60"/>
              <w:right w:type="dxa" w:w="120"/>
            </w:tcMar>
          </w:tcPr>
          <w:p>
            <w:r>
              <w:rPr>
                <w:sz w:val="19"/>
                <w:szCs w:val="19"/>
              </w:rPr>
              <w:t xml:space="preserve">Red table</w:t>
            </w:r>
          </w:p>
        </w:tc>
        <w:tc>
          <w:tcPr>
            <w:tcMar>
              <w:top w:type="dxa" w:w="60"/>
              <w:left w:type="dxa" w:w="120"/>
              <w:bottom w:type="dxa" w:w="60"/>
              <w:right w:type="dxa" w:w="120"/>
            </w:tcMar>
          </w:tcPr>
          <w:p>
            <w:r>
              <w:rPr>
                <w:sz w:val="19"/>
                <w:szCs w:val="19"/>
              </w:rPr>
              <w:t xml:space="preserve">A trap. Read it twice.</w:t>
            </w:r>
          </w:p>
        </w:tc>
      </w:tr>
    </w:tbl>
    <w:p/>
    <w:p>
      <w:pPr>
        <w:sectPr>
          <w:headerReference w:type="default" r:id="rIdHdr1"/>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 · Basic EPS and the Weighted Average Share Count</w:t>
      </w:r>
    </w:p>
    <w:p>
      <w:pPr>
        <w:spacing w:after="8"/>
      </w:pPr>
      <w:r>
        <w:rPr>
          <w:color w:val="23265A"/>
          <w:sz w:val="22"/>
          <w:szCs w:val="22"/>
        </w:rPr>
        <w:t xml:space="preserve">Northwind earned $510,000 on an average of 291,750 shares. The hard part is the 291,750, and Volume 8 already has every movement in it.</w:t>
      </w:r>
    </w:p>
    <w:p>
      <w:pPr>
        <w:spacing w:after="130"/>
      </w:pPr>
      <w:r>
        <w:rPr>
          <w:color w:val="6B7280"/>
          <w:sz w:val="20"/>
          <w:szCs w:val="20"/>
        </w:rPr>
        <w:t xml:space="preserve">Volume 15 · Earnings Per Share · R1 moving to R2</w:t>
      </w:r>
    </w:p>
    <w:tbl>
      <w:tblPr>
        <w:tblW w:type="pct" w:w="100%"/>
        <w:tblBorders>
          <w:top w:val="single" w:color="23265A" w:sz="4"/>
          <w:left w:val="single" w:color="23265A" w:sz="4"/>
          <w:bottom w:val="single" w:color="23265A" w:sz="4"/>
          <w:right w:val="single" w:color="23265A" w:sz="4"/>
          <w:insideH w:val="single" w:color="23265A" w:sz="4"/>
          <w:insideV w:val="single" w:color="23265A" w:sz="4"/>
        </w:tblBorders>
      </w:tblPr>
      <w:tblGrid>
        <w:gridCol w:w="34"/>
        <w:gridCol w:w="66"/>
      </w:tblGrid>
      <w:tr>
        <w:tc>
          <w:tcPr>
            <w:gridSpan w:val="2"/>
            <w:shd w:fill="23265A" w:val="clear"/>
          </w:tcPr>
          <w:p>
            <w:r>
              <w:rPr>
                <w:b/>
                <w:bCs/>
                <w:color w:val="FFFFFF"/>
                <w:sz w:val="17"/>
                <w:szCs w:val="17"/>
              </w:rPr>
              <w:t xml:space="preserve">LANGUAGE FOCUS</w:t>
            </w:r>
          </w:p>
        </w:tc>
      </w:tr>
      <w:tr>
        <w:tc>
          <w:tcPr>
            <w:shd w:fill="F5F7FC" w:val="clear"/>
            <w:tcMar>
              <w:top w:type="dxa" w:w="70"/>
              <w:left w:type="dxa" w:w="130"/>
              <w:bottom w:type="dxa" w:w="70"/>
              <w:right w:type="dxa" w:w="130"/>
            </w:tcMar>
          </w:tcPr>
          <w:p>
            <w:r>
              <w:rPr>
                <w:b/>
                <w:bCs/>
                <w:sz w:val="18"/>
                <w:szCs w:val="18"/>
              </w:rPr>
              <w:t xml:space="preserve">Register you are working in</w:t>
            </w:r>
          </w:p>
        </w:tc>
        <w:tc>
          <w:tcPr>
            <w:tcMar>
              <w:top w:type="dxa" w:w="70"/>
              <w:left w:type="dxa" w:w="130"/>
              <w:bottom w:type="dxa" w:w="70"/>
              <w:right w:type="dxa" w:w="130"/>
            </w:tcMar>
          </w:tcPr>
          <w:p>
            <w:r>
              <w:rPr>
                <w:sz w:val="18"/>
                <w:szCs w:val="18"/>
              </w:rPr>
              <w:t xml:space="preserve">R1 while the measure is being established, R2 once the weighting is being computed.</w:t>
            </w:r>
          </w:p>
        </w:tc>
      </w:tr>
      <w:tr>
        <w:tc>
          <w:tcPr>
            <w:shd w:fill="F5F7FC" w:val="clear"/>
            <w:tcMar>
              <w:top w:type="dxa" w:w="70"/>
              <w:left w:type="dxa" w:w="130"/>
              <w:bottom w:type="dxa" w:w="70"/>
              <w:right w:type="dxa" w:w="130"/>
            </w:tcMar>
          </w:tcPr>
          <w:p>
            <w:r>
              <w:rPr>
                <w:b/>
                <w:bCs/>
                <w:sz w:val="18"/>
                <w:szCs w:val="18"/>
              </w:rPr>
              <w:t xml:space="preserve">Say it exactly like this</w:t>
            </w:r>
          </w:p>
        </w:tc>
        <w:tc>
          <w:tcPr>
            <w:tcMar>
              <w:top w:type="dxa" w:w="70"/>
              <w:left w:type="dxa" w:w="130"/>
              <w:bottom w:type="dxa" w:w="70"/>
              <w:right w:type="dxa" w:w="130"/>
            </w:tcMar>
          </w:tcPr>
          <w:p>
            <w:r>
              <w:rPr>
                <w:sz w:val="18"/>
                <w:szCs w:val="18"/>
              </w:rPr>
              <w:t xml:space="preserve">weight shares by the months outstanding · deduct preferred dividends from net income · restate a share count retroactively · present earnings per share on the face of the statement · report a loss per share · reduce the denominator by a buy-back</w:t>
            </w:r>
          </w:p>
        </w:tc>
      </w:tr>
      <w:tr>
        <w:tc>
          <w:tcPr>
            <w:shd w:fill="F5F7FC" w:val="clear"/>
            <w:tcMar>
              <w:top w:type="dxa" w:w="70"/>
              <w:left w:type="dxa" w:w="130"/>
              <w:bottom w:type="dxa" w:w="70"/>
              <w:right w:type="dxa" w:w="130"/>
            </w:tcMar>
          </w:tcPr>
          <w:p>
            <w:r>
              <w:rPr>
                <w:b/>
                <w:bCs/>
                <w:sz w:val="18"/>
                <w:szCs w:val="18"/>
              </w:rPr>
              <w:t xml:space="preserve">Words that are not the same</w:t>
            </w:r>
          </w:p>
        </w:tc>
        <w:tc>
          <w:tcPr>
            <w:tcMar>
              <w:top w:type="dxa" w:w="70"/>
              <w:left w:type="dxa" w:w="130"/>
              <w:bottom w:type="dxa" w:w="70"/>
              <w:right w:type="dxa" w:w="130"/>
            </w:tcMar>
          </w:tcPr>
          <w:p>
            <w:r>
              <w:rPr>
                <w:sz w:val="18"/>
                <w:szCs w:val="18"/>
              </w:rPr>
              <w:t xml:space="preserve">basic / diluted · issued / outstanding · weighted / closing · retroactive / from the date of issue</w:t>
            </w:r>
          </w:p>
        </w:tc>
      </w:tr>
      <w:tr>
        <w:tc>
          <w:tcPr>
            <w:shd w:fill="F5F7FC" w:val="clear"/>
            <w:tcMar>
              <w:top w:type="dxa" w:w="70"/>
              <w:left w:type="dxa" w:w="130"/>
              <w:bottom w:type="dxa" w:w="70"/>
              <w:right w:type="dxa" w:w="130"/>
            </w:tcMar>
          </w:tcPr>
          <w:p>
            <w:r>
              <w:rPr>
                <w:b/>
                <w:bCs/>
                <w:sz w:val="18"/>
                <w:szCs w:val="18"/>
              </w:rPr>
              <w:t xml:space="preserve">Remember</w:t>
            </w:r>
          </w:p>
        </w:tc>
        <w:tc>
          <w:tcPr>
            <w:tcMar>
              <w:top w:type="dxa" w:w="70"/>
              <w:left w:type="dxa" w:w="130"/>
              <w:bottom w:type="dxa" w:w="70"/>
              <w:right w:type="dxa" w:w="130"/>
            </w:tcMar>
          </w:tcPr>
          <w:p>
            <w:r>
              <w:rPr>
                <w:sz w:val="18"/>
                <w:szCs w:val="18"/>
              </w:rPr>
              <w:t xml:space="preserve">Earnings per share does not use the closing share count. It uses the average, weighted by time.  A stock dividend is not weighted from its date. It is applied to every period presented, as though it had always existed.</w:t>
            </w:r>
          </w:p>
        </w:tc>
      </w:tr>
    </w:tbl>
    <w:p/>
    <w:p>
      <w:pPr>
        <w:spacing w:after="40" w:before="130"/>
      </w:pPr>
      <w:r>
        <w:rPr>
          <w:b/>
          <w:bCs/>
          <w:color w:val="23265A"/>
          <w:sz w:val="24"/>
          <w:szCs w:val="24"/>
        </w:rPr>
        <w:t xml:space="preserve">What you will be able to do when this handout is finished</w:t>
      </w:r>
    </w:p>
    <w:p>
      <w:pPr>
        <w:pStyle w:val="ListParagraph"/>
        <w:numPr>
          <w:ilvl w:val="0"/>
          <w:numId w:val="1"/>
        </w:numPr>
        <w:spacing w:after="24"/>
      </w:pPr>
      <w:r>
        <w:rPr>
          <w:sz w:val="20"/>
          <w:szCs w:val="20"/>
        </w:rPr>
        <w:t xml:space="preserve">Say what earnings per share measures and why it is presented.</w:t>
      </w:r>
    </w:p>
    <w:p>
      <w:pPr>
        <w:pStyle w:val="ListParagraph"/>
        <w:numPr>
          <w:ilvl w:val="0"/>
          <w:numId w:val="1"/>
        </w:numPr>
        <w:spacing w:after="24"/>
      </w:pPr>
      <w:r>
        <w:rPr>
          <w:sz w:val="20"/>
          <w:szCs w:val="20"/>
        </w:rPr>
        <w:t xml:space="preserve">Compute a weighted average share count.</w:t>
      </w:r>
    </w:p>
    <w:p>
      <w:pPr>
        <w:pStyle w:val="ListParagraph"/>
        <w:numPr>
          <w:ilvl w:val="0"/>
          <w:numId w:val="1"/>
        </w:numPr>
        <w:spacing w:after="24"/>
      </w:pPr>
      <w:r>
        <w:rPr>
          <w:sz w:val="20"/>
          <w:szCs w:val="20"/>
        </w:rPr>
        <w:t xml:space="preserve">Deduct preferred dividends to get income available to common shareholders.</w:t>
      </w:r>
    </w:p>
    <w:p>
      <w:pPr>
        <w:pStyle w:val="ListParagraph"/>
        <w:numPr>
          <w:ilvl w:val="0"/>
          <w:numId w:val="1"/>
        </w:numPr>
        <w:spacing w:after="24"/>
      </w:pPr>
      <w:r>
        <w:rPr>
          <w:sz w:val="20"/>
          <w:szCs w:val="20"/>
        </w:rPr>
        <w:t xml:space="preserve">Say which share changes are weighted and which are applied retroactively.</w:t>
      </w:r>
    </w:p>
    <w:p>
      <w:pPr>
        <w:pStyle w:val="ListParagraph"/>
        <w:numPr>
          <w:ilvl w:val="0"/>
          <w:numId w:val="1"/>
        </w:numPr>
        <w:spacing w:after="24"/>
      </w:pPr>
      <w:r>
        <w:rPr>
          <w:sz w:val="20"/>
          <w:szCs w:val="20"/>
        </w:rPr>
        <w:t xml:space="preserve">Present earnings per share for each component of income.</w:t>
      </w:r>
    </w:p>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5F7FC" w:val="clear"/>
            <w:tcMar>
              <w:top w:type="dxa" w:w="140"/>
              <w:left w:type="dxa" w:w="200"/>
              <w:bottom w:type="dxa" w:w="140"/>
              <w:right w:type="dxa" w:w="200"/>
            </w:tcMar>
          </w:tcPr>
          <w:p>
            <w:pPr>
              <w:spacing w:after="60"/>
            </w:pPr>
            <w:r>
              <w:rPr>
                <w:b/>
                <w:bCs/>
                <w:color w:val="353A7C"/>
                <w:sz w:val="21"/>
                <w:szCs w:val="21"/>
              </w:rPr>
              <w:t xml:space="preserve">One number, built from two</w:t>
            </w:r>
          </w:p>
          <w:p>
            <w:pPr>
              <w:spacing w:after="80" w:line="290" w:lineRule="auto"/>
            </w:pPr>
            <w:r>
              <w:rPr>
                <w:sz w:val="21"/>
                <w:szCs w:val="21"/>
              </w:rPr>
              <w:t xml:space="preserve">Earnings per share is the most quoted figure any company publishes, and it is the only ratio the standards require on the face of the income statement.</w:t>
            </w:r>
          </w:p>
          <w:p>
            <w:pPr>
              <w:spacing w:after="80" w:line="290" w:lineRule="auto"/>
            </w:pPr>
            <w:r>
              <w:rPr>
                <w:sz w:val="21"/>
                <w:szCs w:val="21"/>
              </w:rPr>
              <w:t xml:space="preserve">Northwind earned $510,000 in 20X4. Dividing by its 300,000 closing shares would give $1.70, and that figure would be wrong.</w:t>
            </w:r>
          </w:p>
          <w:p>
            <w:pPr>
              <w:spacing w:after="80" w:line="290" w:lineRule="auto"/>
            </w:pPr>
            <w:r>
              <w:rPr>
                <w:sz w:val="21"/>
                <w:szCs w:val="21"/>
              </w:rPr>
              <w:t xml:space="preserve">It would be wrong because 20,000 of those shares were issued on 1 April and did not earn for the whole year, and because 10,000 were bought back in July and 7,000 reissued in October.</w:t>
            </w:r>
          </w:p>
          <w:p>
            <w:pPr>
              <w:spacing w:after="80" w:line="290" w:lineRule="auto"/>
            </w:pPr>
            <w:r>
              <w:rPr>
                <w:sz w:val="21"/>
                <w:szCs w:val="21"/>
              </w:rPr>
              <w:t xml:space="preserve">Every one of those movements is in Volume 8. This handout weights them.</w:t>
            </w:r>
          </w:p>
        </w:tc>
      </w:tr>
    </w:tbl>
    <w:p/>
    <w:p>
      <w:pPr>
        <w:spacing w:after="40" w:before="90"/>
        <w:jc w:val="center"/>
      </w:pPr>
      <w:r>
        <w:drawing>
          <wp:inline distT="0" distB="0" distL="0" distR="0">
            <wp:extent cx="5734050" cy="200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5734050" cy="2000550"/>
                    </a:xfrm>
                    <a:prstGeom prst="rect">
                      <a:avLst/>
                    </a:prstGeom>
                  </pic:spPr>
                </pic:pic>
              </a:graphicData>
            </a:graphic>
          </wp:inline>
        </w:drawing>
      </w:r>
    </w:p>
    <w:p>
      <w:pPr>
        <w:shd w:fill="353A7C" w:val="clear"/>
        <w:spacing w:after="80" w:before="230"/>
      </w:pPr>
      <w:r>
        <w:rPr>
          <w:b/>
          <w:bCs/>
          <w:color w:val="FFFFFF"/>
          <w:sz w:val="26"/>
          <w:szCs w:val="26"/>
        </w:rPr>
        <w:t xml:space="preserve">  Part 1 · What the measure is for</w:t>
      </w:r>
      <w:r>
        <w:rPr>
          <w:b/>
          <w:bCs/>
          <w:color w:val="FFFFFF"/>
          <w:sz w:val="16"/>
          <w:szCs w:val="16"/>
        </w:rPr>
        <w:t xml:space="preserve">    and why the denominator is weighted</w:t>
      </w:r>
    </w:p>
    <w:p>
      <w:pPr>
        <w:spacing w:before="230" w:after="80"/>
        <w:pBdr>
          <w:top w:val="single" w:sz="12" w:space="7" w:color="353A7C"/>
        </w:pBdr>
      </w:pPr>
      <w:r>
        <w:rPr>
          <w:b/>
          <w:bCs/>
          <w:color w:val="353A7C"/>
          <w:sz w:val="22"/>
          <w:szCs w:val="22"/>
        </w:rPr>
        <w:t xml:space="preserve">Exercise 1A   </w:t>
      </w:r>
      <w:r>
        <w:rPr>
          <w:b/>
          <w:bCs/>
          <w:sz w:val="21"/>
          <w:szCs w:val="21"/>
        </w:rPr>
        <w:t xml:space="preserve">Read and complete. Write one word in each space.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Say why earnings per share weights the share count by time.</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Volume 8 Handout 1, for the share issue. · Volume 8 Handout 2, for the buy-back and the reissue.</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Northwind issued 20,000 shares on 1 April. Ask how much of the year’s profit those shares were available to earn.</w:t>
            </w:r>
          </w:p>
          <w:p>
            <w:pPr>
              <w:spacing w:after="30"/>
            </w:pPr>
            <w:r>
              <w:rPr>
                <w:color w:val="353A7C"/>
                <w:sz w:val="18"/>
                <w:szCs w:val="18"/>
              </w:rPr>
              <w:t xml:space="preserve">•  </w:t>
            </w:r>
            <w:r>
              <w:rPr>
                <w:sz w:val="18"/>
                <w:szCs w:val="18"/>
              </w:rPr>
              <w:t xml:space="preserve">The money raised by a share issue is only at work from the day it arrives.</w:t>
            </w:r>
          </w:p>
          <w:p>
            <w:pPr>
              <w:spacing w:after="30"/>
            </w:pPr>
            <w:r>
              <w:rPr>
                <w:color w:val="353A7C"/>
                <w:sz w:val="18"/>
                <w:szCs w:val="18"/>
              </w:rPr>
              <w:t xml:space="preserve">•  </w:t>
            </w:r>
            <w:r>
              <w:rPr>
                <w:sz w:val="18"/>
                <w:szCs w:val="18"/>
              </w:rPr>
              <w:t xml:space="preserve">The last blank is what a buy-back does to earnings per share without the company earning anything more.</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added</w:t>
            </w:r>
            <w:r>
              <w:rPr>
                <w:b/>
                <w:bCs/>
                <w:color w:val="8186EF"/>
                <w:sz w:val="20"/>
                <w:szCs w:val="20"/>
              </w:rPr>
              <w:t xml:space="preserve">   ·   </w:t>
            </w:r>
            <w:r>
              <w:rPr>
                <w:b/>
                <w:bCs/>
                <w:sz w:val="20"/>
                <w:szCs w:val="20"/>
              </w:rPr>
              <w:t xml:space="preserve">deducted</w:t>
            </w:r>
            <w:r>
              <w:rPr>
                <w:b/>
                <w:bCs/>
                <w:color w:val="8186EF"/>
                <w:sz w:val="20"/>
                <w:szCs w:val="20"/>
              </w:rPr>
              <w:t xml:space="preserve">   ·   </w:t>
            </w:r>
            <w:r>
              <w:rPr>
                <w:b/>
                <w:bCs/>
                <w:sz w:val="20"/>
                <w:szCs w:val="20"/>
              </w:rPr>
              <w:t xml:space="preserve">falls</w:t>
            </w:r>
            <w:r>
              <w:rPr>
                <w:b/>
                <w:bCs/>
                <w:color w:val="8186EF"/>
                <w:sz w:val="20"/>
                <w:szCs w:val="20"/>
              </w:rPr>
              <w:t xml:space="preserve">   ·   </w:t>
            </w:r>
            <w:r>
              <w:rPr>
                <w:b/>
                <w:bCs/>
                <w:sz w:val="20"/>
                <w:szCs w:val="20"/>
              </w:rPr>
              <w:t xml:space="preserve">overstate</w:t>
            </w:r>
            <w:r>
              <w:rPr>
                <w:b/>
                <w:bCs/>
                <w:color w:val="8186EF"/>
                <w:sz w:val="20"/>
                <w:szCs w:val="20"/>
              </w:rPr>
              <w:t xml:space="preserve">   ·   </w:t>
            </w:r>
            <w:r>
              <w:rPr>
                <w:b/>
                <w:bCs/>
                <w:sz w:val="20"/>
                <w:szCs w:val="20"/>
              </w:rPr>
              <w:t xml:space="preserve">quarters</w:t>
            </w:r>
            <w:r>
              <w:rPr>
                <w:b/>
                <w:bCs/>
                <w:color w:val="8186EF"/>
                <w:sz w:val="20"/>
                <w:szCs w:val="20"/>
              </w:rPr>
              <w:t xml:space="preserve">   ·   </w:t>
            </w:r>
            <w:r>
              <w:rPr>
                <w:b/>
                <w:bCs/>
                <w:sz w:val="20"/>
                <w:szCs w:val="20"/>
              </w:rPr>
              <w:t xml:space="preserve">rises</w:t>
            </w:r>
            <w:r>
              <w:rPr>
                <w:b/>
                <w:bCs/>
                <w:color w:val="8186EF"/>
                <w:sz w:val="20"/>
                <w:szCs w:val="20"/>
              </w:rPr>
              <w:t xml:space="preserve">   ·   </w:t>
            </w:r>
            <w:r>
              <w:rPr>
                <w:b/>
                <w:bCs/>
                <w:sz w:val="20"/>
                <w:szCs w:val="20"/>
              </w:rPr>
              <w:t xml:space="preserve">understate</w:t>
            </w:r>
          </w:p>
          <w:p>
            <w:r>
              <w:rPr>
                <w:color w:val="6B7280"/>
                <w:sz w:val="17"/>
                <w:szCs w:val="17"/>
              </w:rPr>
              <w:t xml:space="preserve">Not every word is used.</w:t>
            </w:r>
          </w:p>
        </w:tc>
      </w:tr>
    </w:tbl>
    <w:p/>
    <w:p>
      <w:pPr>
        <w:spacing w:before="40" w:after="110" w:line="300" w:lineRule="auto"/>
      </w:pPr>
      <w:r>
        <w:rPr>
          <w:b/>
          <w:color w:val="2E8B62"/>
          <w:sz w:val="13"/>
        </w:rPr>
        <w:t xml:space="preserve">R1  </w:t>
      </w:r>
      <w:r>
        <w:rPr>
          <w:sz w:val="21"/>
          <w:szCs w:val="21"/>
        </w:rPr>
        <w:t xml:space="preserve">Earnings per share divides the profit by the shares that earned it. A share issued on 1 April was only available to earn for nine months, so counting it as a whole share would </w:t>
      </w:r>
      <w:r>
        <w:rPr>
          <w:vertAlign w:val="superscript"/>
          <w:color w:val="353A7C"/>
          <w:b/>
          <w:sz w:val="16"/>
        </w:rPr>
        <w:t>1</w:t>
      </w:r>
      <w:r>
        <w:rPr>
          <w:u w:val="single"/>
          <w:sz w:val="21"/>
          <w:szCs w:val="21"/>
        </w:rPr>
        <w:t xml:space="preserve">                </w:t>
      </w:r>
      <w:r>
        <w:rPr>
          <w:sz w:val="21"/>
          <w:szCs w:val="21"/>
        </w:rPr>
        <w:t xml:space="preserve"> the denominator and understate the result.</w:t>
      </w:r>
    </w:p>
    <w:p>
      <w:pPr>
        <w:spacing w:before="40" w:after="110" w:line="300" w:lineRule="auto"/>
      </w:pPr>
      <w:r>
        <w:rPr>
          <w:sz w:val="21"/>
          <w:szCs w:val="21"/>
        </w:rPr>
        <w:t xml:space="preserve">So each movement is weighted by the fraction of the year it was in force. 20,000 shares issued on 1 April count as 15,000, because nine months is three </w:t>
      </w:r>
      <w:r>
        <w:rPr>
          <w:vertAlign w:val="superscript"/>
          <w:color w:val="353A7C"/>
          <w:b/>
          <w:sz w:val="16"/>
        </w:rPr>
        <w:t>2</w:t>
      </w:r>
      <w:r>
        <w:rPr>
          <w:u w:val="single"/>
          <w:sz w:val="21"/>
          <w:szCs w:val="21"/>
        </w:rPr>
        <w:t xml:space="preserve">               </w:t>
      </w:r>
      <w:r>
        <w:rPr>
          <w:sz w:val="21"/>
          <w:szCs w:val="21"/>
        </w:rPr>
        <w:t xml:space="preserve"> of a year.</w:t>
      </w:r>
    </w:p>
    <w:p>
      <w:pPr>
        <w:spacing w:before="40" w:after="110" w:line="300" w:lineRule="auto"/>
      </w:pPr>
      <w:r>
        <w:rPr>
          <w:sz w:val="21"/>
          <w:szCs w:val="21"/>
        </w:rPr>
        <w:t xml:space="preserve">The same reasoning runs backwards for a buy-back. 10,000 shares repurchased on 1 July are out of issue for six months, so 5,000 is </w:t>
      </w:r>
      <w:r>
        <w:rPr>
          <w:vertAlign w:val="superscript"/>
          <w:color w:val="353A7C"/>
          <w:b/>
          <w:sz w:val="16"/>
        </w:rPr>
        <w:t>3</w:t>
      </w:r>
      <w:r>
        <w:rPr>
          <w:u w:val="single"/>
          <w:sz w:val="21"/>
          <w:szCs w:val="21"/>
        </w:rPr>
        <w:t xml:space="preserve">               </w:t>
      </w:r>
      <w:r>
        <w:rPr>
          <w:sz w:val="21"/>
          <w:szCs w:val="21"/>
        </w:rPr>
        <w:t xml:space="preserve"> from the average.</w:t>
      </w:r>
    </w:p>
    <w:p>
      <w:pPr>
        <w:spacing w:before="40" w:after="110" w:line="300" w:lineRule="auto"/>
      </w:pPr>
      <w:r>
        <w:rPr>
          <w:sz w:val="21"/>
          <w:szCs w:val="21"/>
        </w:rPr>
        <w:t xml:space="preserve">Note what that does. A buy-back lowers the denominator and the company has earned nothing extra, so earnings per share </w:t>
      </w:r>
      <w:r>
        <w:rPr>
          <w:vertAlign w:val="superscript"/>
          <w:color w:val="353A7C"/>
          <w:b/>
          <w:sz w:val="16"/>
        </w:rPr>
        <w:t>4</w:t>
      </w:r>
      <w:r>
        <w:rPr>
          <w:u w:val="single"/>
          <w:sz w:val="21"/>
          <w:szCs w:val="21"/>
        </w:rPr>
        <w:t xml:space="preserve">          </w:t>
      </w:r>
      <w:r>
        <w:rPr>
          <w:sz w:val="21"/>
          <w:szCs w:val="21"/>
        </w:rPr>
        <w:t xml:space="preserve">. Volume 8 warned about exactly this.</w:t>
      </w:r>
    </w:p>
    <w:p>
      <w:pPr>
        <w:spacing w:after="40" w:before="90"/>
        <w:jc w:val="center"/>
      </w:pPr>
      <w:r>
        <w:drawing>
          <wp:inline distT="0" distB="0" distL="0" distR="0">
            <wp:extent cx="5734050" cy="202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5734050" cy="2026025"/>
                    </a:xfrm>
                    <a:prstGeom prst="rect">
                      <a:avLst/>
                    </a:prstGeom>
                  </pic:spPr>
                </pic:pic>
              </a:graphicData>
            </a:graphic>
          </wp:inline>
        </w:drawing>
      </w:r>
    </w:p>
    <w:p>
      <w:pPr>
        <w:shd w:fill="353A7C" w:val="clear"/>
        <w:spacing w:after="80" w:before="230"/>
      </w:pPr>
      <w:r>
        <w:rPr>
          <w:b/>
          <w:bCs/>
          <w:color w:val="FFFFFF"/>
          <w:sz w:val="26"/>
          <w:szCs w:val="26"/>
        </w:rPr>
        <w:t xml:space="preserve">  Part 2 · Computing the average</w:t>
      </w:r>
      <w:r>
        <w:rPr>
          <w:b/>
          <w:bCs/>
          <w:color w:val="FFFFFF"/>
          <w:sz w:val="16"/>
          <w:szCs w:val="16"/>
        </w:rPr>
        <w:t xml:space="preserve">    Volume 8’s movements, weighted</w:t>
      </w:r>
    </w:p>
    <w:p>
      <w:pPr>
        <w:spacing w:before="230" w:after="80"/>
        <w:pBdr>
          <w:top w:val="single" w:sz="12" w:space="7" w:color="353A7C"/>
        </w:pBdr>
      </w:pPr>
      <w:r>
        <w:rPr>
          <w:b/>
          <w:bCs/>
          <w:color w:val="353A7C"/>
          <w:sz w:val="22"/>
          <w:szCs w:val="22"/>
        </w:rPr>
        <w:t xml:space="preserve">Exercise 1B   </w:t>
      </w:r>
      <w:r>
        <w:rPr>
          <w:b/>
          <w:bCs/>
          <w:sz w:val="21"/>
          <w:szCs w:val="21"/>
        </w:rPr>
        <w:t xml:space="preserve">Complete the right-hand column, then total it.</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Compute the weighted average shares outstanding for 20X4.</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1A.</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The opening 280,000 shares were outstanding all year, so their weight is 1.</w:t>
            </w:r>
          </w:p>
          <w:p>
            <w:pPr>
              <w:spacing w:after="30"/>
            </w:pPr>
            <w:r>
              <w:rPr>
                <w:color w:val="353A7C"/>
                <w:sz w:val="18"/>
                <w:szCs w:val="18"/>
              </w:rPr>
              <w:t xml:space="preserve">•  </w:t>
            </w:r>
            <w:r>
              <w:rPr>
                <w:sz w:val="18"/>
                <w:szCs w:val="18"/>
              </w:rPr>
              <w:t xml:space="preserve">Each later movement is its share count times the months remaining over twelve.</w:t>
            </w:r>
          </w:p>
          <w:p>
            <w:pPr>
              <w:spacing w:after="30"/>
            </w:pPr>
            <w:r>
              <w:rPr>
                <w:color w:val="353A7C"/>
                <w:sz w:val="18"/>
                <w:szCs w:val="18"/>
              </w:rPr>
              <w:t xml:space="preserve">•  </w:t>
            </w:r>
            <w:r>
              <w:rPr>
                <w:sz w:val="18"/>
                <w:szCs w:val="18"/>
              </w:rPr>
              <w:t xml:space="preserve">The buy-back row is negative. If your total comes out above 297,000 you have added it instead.</w:t>
            </w:r>
          </w:p>
        </w:tc>
      </w:tr>
    </w:tbl>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34"/>
        <w:gridCol w:w="20"/>
        <w:gridCol w:w="24"/>
        <w:gridCol w:w="22"/>
      </w:tblGrid>
      <w:tr>
        <w:tc>
          <w:tcPr>
            <w:shd w:fill="2E7D5B" w:val="clear"/>
            <w:tcMar>
              <w:top w:type="dxa" w:w="60"/>
              <w:left w:type="dxa" w:w="120"/>
              <w:bottom w:type="dxa" w:w="60"/>
              <w:right w:type="dxa" w:w="120"/>
            </w:tcMar>
          </w:tcPr>
          <w:p>
            <w:r>
              <w:rPr>
                <w:b/>
                <w:bCs/>
                <w:color w:val="FFFFFF"/>
                <w:sz w:val="19"/>
                <w:szCs w:val="19"/>
              </w:rPr>
              <w:t xml:space="preserve">Movement in 20X4</w:t>
            </w:r>
          </w:p>
        </w:tc>
        <w:tc>
          <w:tcPr>
            <w:shd w:fill="2E7D5B" w:val="clear"/>
            <w:tcMar>
              <w:top w:type="dxa" w:w="60"/>
              <w:left w:type="dxa" w:w="120"/>
              <w:bottom w:type="dxa" w:w="60"/>
              <w:right w:type="dxa" w:w="120"/>
            </w:tcMar>
          </w:tcPr>
          <w:p>
            <w:r>
              <w:rPr>
                <w:b/>
                <w:bCs/>
                <w:color w:val="FFFFFF"/>
                <w:sz w:val="19"/>
                <w:szCs w:val="19"/>
              </w:rPr>
              <w:t xml:space="preserve">Shares</w:t>
            </w:r>
          </w:p>
        </w:tc>
        <w:tc>
          <w:tcPr>
            <w:shd w:fill="2E7D5B" w:val="clear"/>
            <w:tcMar>
              <w:top w:type="dxa" w:w="60"/>
              <w:left w:type="dxa" w:w="120"/>
              <w:bottom w:type="dxa" w:w="60"/>
              <w:right w:type="dxa" w:w="120"/>
            </w:tcMar>
          </w:tcPr>
          <w:p>
            <w:r>
              <w:rPr>
                <w:b/>
                <w:bCs/>
                <w:color w:val="FFFFFF"/>
                <w:sz w:val="19"/>
                <w:szCs w:val="19"/>
              </w:rPr>
              <w:t xml:space="preserve">Months outstanding</w:t>
            </w:r>
          </w:p>
        </w:tc>
        <w:tc>
          <w:tcPr>
            <w:shd w:fill="2E7D5B" w:val="clear"/>
            <w:tcMar>
              <w:top w:type="dxa" w:w="60"/>
              <w:left w:type="dxa" w:w="120"/>
              <w:bottom w:type="dxa" w:w="60"/>
              <w:right w:type="dxa" w:w="120"/>
            </w:tcMar>
          </w:tcPr>
          <w:p>
            <w:r>
              <w:rPr>
                <w:b/>
                <w:bCs/>
                <w:color w:val="FFFFFF"/>
                <w:sz w:val="19"/>
                <w:szCs w:val="19"/>
              </w:rPr>
              <w:t xml:space="preserve">Weighted</w:t>
            </w:r>
          </w:p>
        </w:tc>
      </w:tr>
      <w:tr>
        <w:tc>
          <w:tcPr>
            <w:tcMar>
              <w:top w:type="dxa" w:w="60"/>
              <w:left w:type="dxa" w:w="120"/>
              <w:bottom w:type="dxa" w:w="60"/>
              <w:right w:type="dxa" w:w="120"/>
            </w:tcMar>
          </w:tcPr>
          <w:p>
            <w:r>
              <w:rPr>
                <w:sz w:val="19"/>
                <w:szCs w:val="19"/>
              </w:rPr>
              <w:t xml:space="preserve">Outstanding at 1 January</w:t>
            </w:r>
          </w:p>
        </w:tc>
        <w:tc>
          <w:tcPr>
            <w:tcMar>
              <w:top w:type="dxa" w:w="60"/>
              <w:left w:type="dxa" w:w="120"/>
              <w:bottom w:type="dxa" w:w="60"/>
              <w:right w:type="dxa" w:w="120"/>
            </w:tcMar>
          </w:tcPr>
          <w:p>
            <w:r>
              <w:rPr>
                <w:sz w:val="19"/>
                <w:szCs w:val="19"/>
              </w:rPr>
              <w:t xml:space="preserve">280,000</w:t>
            </w:r>
          </w:p>
        </w:tc>
        <w:tc>
          <w:tcPr>
            <w:tcMar>
              <w:top w:type="dxa" w:w="60"/>
              <w:left w:type="dxa" w:w="120"/>
              <w:bottom w:type="dxa" w:w="60"/>
              <w:right w:type="dxa" w:w="120"/>
            </w:tcMar>
          </w:tcPr>
          <w:p>
            <w:r>
              <w:rPr>
                <w:sz w:val="19"/>
                <w:szCs w:val="19"/>
              </w:rPr>
              <w:t xml:space="preserve">12 of 12</w:t>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Issued 1 April</w:t>
            </w:r>
          </w:p>
        </w:tc>
        <w:tc>
          <w:tcPr>
            <w:tcMar>
              <w:top w:type="dxa" w:w="60"/>
              <w:left w:type="dxa" w:w="120"/>
              <w:bottom w:type="dxa" w:w="60"/>
              <w:right w:type="dxa" w:w="120"/>
            </w:tcMar>
          </w:tcPr>
          <w:p>
            <w:r>
              <w:rPr>
                <w:sz w:val="19"/>
                <w:szCs w:val="19"/>
              </w:rPr>
              <w:t xml:space="preserve">20,000</w:t>
            </w:r>
          </w:p>
        </w:tc>
        <w:tc>
          <w:tcPr>
            <w:tcMar>
              <w:top w:type="dxa" w:w="60"/>
              <w:left w:type="dxa" w:w="120"/>
              <w:bottom w:type="dxa" w:w="60"/>
              <w:right w:type="dxa" w:w="120"/>
            </w:tcMar>
          </w:tcPr>
          <w:p>
            <w:r>
              <w:rPr>
                <w:sz w:val="19"/>
                <w:szCs w:val="19"/>
              </w:rPr>
              <w:t xml:space="preserve">9 of 12</w:t>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Bought back 1 July</w:t>
            </w:r>
          </w:p>
        </w:tc>
        <w:tc>
          <w:tcPr>
            <w:tcMar>
              <w:top w:type="dxa" w:w="60"/>
              <w:left w:type="dxa" w:w="120"/>
              <w:bottom w:type="dxa" w:w="60"/>
              <w:right w:type="dxa" w:w="120"/>
            </w:tcMar>
          </w:tcPr>
          <w:p>
            <w:r>
              <w:rPr>
                <w:sz w:val="19"/>
                <w:szCs w:val="19"/>
              </w:rPr>
              <w:t xml:space="preserve">-10,000</w:t>
            </w:r>
          </w:p>
        </w:tc>
        <w:tc>
          <w:tcPr>
            <w:tcMar>
              <w:top w:type="dxa" w:w="60"/>
              <w:left w:type="dxa" w:w="120"/>
              <w:bottom w:type="dxa" w:w="60"/>
              <w:right w:type="dxa" w:w="120"/>
            </w:tcMar>
          </w:tcPr>
          <w:p>
            <w:r>
              <w:rPr>
                <w:sz w:val="19"/>
                <w:szCs w:val="19"/>
              </w:rPr>
              <w:t xml:space="preserve">6 of 12</w:t>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Reissued 1 October</w:t>
            </w:r>
          </w:p>
        </w:tc>
        <w:tc>
          <w:tcPr>
            <w:tcMar>
              <w:top w:type="dxa" w:w="60"/>
              <w:left w:type="dxa" w:w="120"/>
              <w:bottom w:type="dxa" w:w="60"/>
              <w:right w:type="dxa" w:w="120"/>
            </w:tcMar>
          </w:tcPr>
          <w:p>
            <w:r>
              <w:rPr>
                <w:sz w:val="19"/>
                <w:szCs w:val="19"/>
              </w:rPr>
              <w:t xml:space="preserve">7,000</w:t>
            </w:r>
          </w:p>
        </w:tc>
        <w:tc>
          <w:tcPr>
            <w:tcMar>
              <w:top w:type="dxa" w:w="60"/>
              <w:left w:type="dxa" w:w="120"/>
              <w:bottom w:type="dxa" w:w="60"/>
              <w:right w:type="dxa" w:w="120"/>
            </w:tcMar>
          </w:tcPr>
          <w:p>
            <w:r>
              <w:rPr>
                <w:sz w:val="19"/>
                <w:szCs w:val="19"/>
              </w:rPr>
              <w:t xml:space="preserve">3 of 12</w:t>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Weighted average shares outstanding</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16"/>
        <w:gridCol w:w="16"/>
        <w:gridCol w:w="16"/>
        <w:gridCol w:w="16"/>
        <w:gridCol w:w="16"/>
        <w:gridCol w:w="16"/>
      </w:tblGrid>
      <w:tr>
        <w:tc>
          <w:tcPr>
            <w:tcMar>
              <w:top w:type="dxa" w:w="60"/>
              <w:left w:type="dxa" w:w="120"/>
              <w:bottom w:type="dxa" w:w="60"/>
              <w:right w:type="dxa" w:w="120"/>
            </w:tcMar>
          </w:tcPr>
          <w:p>
            <w:r>
              <w:rPr>
                <w:b/>
                <w:bCs/>
                <w:color w:val="353A7C"/>
                <w:sz w:val="15"/>
                <w:szCs w:val="15"/>
              </w:rPr>
              <w:t xml:space="preserve">1</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2</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3</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4</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5</w:t>
            </w:r>
          </w:p>
          <w:p>
            <w:r>
              <w:rPr>
                <w:sz w:val="24"/>
                <w:szCs w:val="24"/>
              </w:rPr>
              <w:t xml:space="preserve"> </w:t>
            </w:r>
          </w:p>
        </w:tc>
      </w:tr>
    </w:tbl>
    <w:p/>
    <w:p>
      <w:pPr>
        <w:spacing w:after="40" w:before="90"/>
        <w:jc w:val="center"/>
      </w:pPr>
      <w:r>
        <w:drawing>
          <wp:inline distT="0" distB="0" distL="0" distR="0">
            <wp:extent cx="5734050" cy="201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5734050" cy="2013300"/>
                    </a:xfrm>
                    <a:prstGeom prst="rect">
                      <a:avLst/>
                    </a:prstGeom>
                  </pic:spPr>
                </pic:pic>
              </a:graphicData>
            </a:graphic>
          </wp:inline>
        </w:drawing>
      </w:r>
    </w:p>
    <w:p>
      <w:pPr>
        <w:shd w:fill="353A7C" w:val="clear"/>
        <w:spacing w:after="80" w:before="230"/>
      </w:pPr>
      <w:r>
        <w:rPr>
          <w:b/>
          <w:bCs/>
          <w:color w:val="FFFFFF"/>
          <w:sz w:val="26"/>
          <w:szCs w:val="26"/>
        </w:rPr>
        <w:t xml:space="preserve">  Part 3 · The numerator</w:t>
      </w:r>
      <w:r>
        <w:rPr>
          <w:b/>
          <w:bCs/>
          <w:color w:val="FFFFFF"/>
          <w:sz w:val="16"/>
          <w:szCs w:val="16"/>
        </w:rPr>
        <w:t xml:space="preserve">    when preferred stock is in issue</w:t>
      </w:r>
    </w:p>
    <w:p>
      <w:pPr>
        <w:spacing w:before="40" w:after="110" w:line="300" w:lineRule="auto"/>
      </w:pPr>
      <w:r>
        <w:rPr>
          <w:b/>
          <w:color w:val="2B6CB0"/>
          <w:sz w:val="13"/>
        </w:rPr>
        <w:t xml:space="preserve">R2  </w:t>
      </w:r>
      <w:r>
        <w:rPr>
          <w:sz w:val="21"/>
          <w:szCs w:val="21"/>
        </w:rPr>
        <w:t xml:space="preserve">Northwind has only common stock, so its numerator is net income. A company with preferred stock must first deduct the preferred dividends, because that part of the profit belongs to someone else before the common shareholders see any of it.</w:t>
      </w:r>
    </w:p>
    <w:p>
      <w:pPr>
        <w:spacing w:before="230" w:after="80"/>
        <w:pBdr>
          <w:top w:val="single" w:sz="12" w:space="7" w:color="353A7C"/>
        </w:pBdr>
      </w:pPr>
      <w:r>
        <w:rPr>
          <w:b/>
          <w:bCs/>
          <w:color w:val="353A7C"/>
          <w:sz w:val="22"/>
          <w:szCs w:val="22"/>
        </w:rPr>
        <w:t xml:space="preserve">Exercise 1C   </w:t>
      </w:r>
      <w:r>
        <w:rPr>
          <w:b/>
          <w:bCs/>
          <w:sz w:val="21"/>
          <w:szCs w:val="21"/>
        </w:rPr>
        <w:t xml:space="preserve">Read and complete. Write one word in each space.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Deduct preferred dividends to find income available to common shareholders.</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The paragraph above, and Volume 8 Handout 1 on dividends.</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Suppose a company earns $500,000 and has preferred stock requiring $60,000 a year.</w:t>
            </w:r>
          </w:p>
          <w:p>
            <w:pPr>
              <w:spacing w:after="30"/>
            </w:pPr>
            <w:r>
              <w:rPr>
                <w:color w:val="353A7C"/>
                <w:sz w:val="18"/>
                <w:szCs w:val="18"/>
              </w:rPr>
              <w:t xml:space="preserve">•  </w:t>
            </w:r>
            <w:r>
              <w:rPr>
                <w:sz w:val="18"/>
                <w:szCs w:val="18"/>
              </w:rPr>
              <w:t xml:space="preserve">The deduction depends on one feature of the preferred stock, and the exam always states it.</w:t>
            </w:r>
          </w:p>
          <w:p>
            <w:pPr>
              <w:spacing w:after="30"/>
            </w:pPr>
            <w:r>
              <w:rPr>
                <w:color w:val="353A7C"/>
                <w:sz w:val="18"/>
                <w:szCs w:val="18"/>
              </w:rPr>
              <w:t xml:space="preserve">•  </w:t>
            </w:r>
            <w:r>
              <w:rPr>
                <w:sz w:val="18"/>
                <w:szCs w:val="18"/>
              </w:rPr>
              <w:t xml:space="preserve">The last blank is the kind of preferred stock whose unpaid dividends accumulate and must still be deducted.</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added</w:t>
            </w:r>
            <w:r>
              <w:rPr>
                <w:b/>
                <w:bCs/>
                <w:color w:val="8186EF"/>
                <w:sz w:val="20"/>
                <w:szCs w:val="20"/>
              </w:rPr>
              <w:t xml:space="preserve">   ·   </w:t>
            </w:r>
            <w:r>
              <w:rPr>
                <w:b/>
                <w:bCs/>
                <w:sz w:val="20"/>
                <w:szCs w:val="20"/>
              </w:rPr>
              <w:t xml:space="preserve">convertible</w:t>
            </w:r>
            <w:r>
              <w:rPr>
                <w:b/>
                <w:bCs/>
                <w:color w:val="8186EF"/>
                <w:sz w:val="20"/>
                <w:szCs w:val="20"/>
              </w:rPr>
              <w:t xml:space="preserve">   ·   </w:t>
            </w:r>
            <w:r>
              <w:rPr>
                <w:b/>
                <w:bCs/>
                <w:sz w:val="20"/>
                <w:szCs w:val="20"/>
              </w:rPr>
              <w:t xml:space="preserve">cumulative</w:t>
            </w:r>
            <w:r>
              <w:rPr>
                <w:b/>
                <w:bCs/>
                <w:color w:val="8186EF"/>
                <w:sz w:val="20"/>
                <w:szCs w:val="20"/>
              </w:rPr>
              <w:t xml:space="preserve">   ·   </w:t>
            </w:r>
            <w:r>
              <w:rPr>
                <w:b/>
                <w:bCs/>
                <w:sz w:val="20"/>
                <w:szCs w:val="20"/>
              </w:rPr>
              <w:t xml:space="preserve">declared</w:t>
            </w:r>
            <w:r>
              <w:rPr>
                <w:b/>
                <w:bCs/>
                <w:color w:val="8186EF"/>
                <w:sz w:val="20"/>
                <w:szCs w:val="20"/>
              </w:rPr>
              <w:t xml:space="preserve">   ·   </w:t>
            </w:r>
            <w:r>
              <w:rPr>
                <w:b/>
                <w:bCs/>
                <w:sz w:val="20"/>
                <w:szCs w:val="20"/>
              </w:rPr>
              <w:t xml:space="preserve">deducted</w:t>
            </w:r>
            <w:r>
              <w:rPr>
                <w:b/>
                <w:bCs/>
                <w:color w:val="8186EF"/>
                <w:sz w:val="20"/>
                <w:szCs w:val="20"/>
              </w:rPr>
              <w:t xml:space="preserve">   ·   </w:t>
            </w:r>
            <w:r>
              <w:rPr>
                <w:b/>
                <w:bCs/>
                <w:sz w:val="20"/>
                <w:szCs w:val="20"/>
              </w:rPr>
              <w:t xml:space="preserve">denominator</w:t>
            </w:r>
            <w:r>
              <w:rPr>
                <w:b/>
                <w:bCs/>
                <w:color w:val="8186EF"/>
                <w:sz w:val="20"/>
                <w:szCs w:val="20"/>
              </w:rPr>
              <w:t xml:space="preserve">   ·   </w:t>
            </w:r>
            <w:r>
              <w:rPr>
                <w:b/>
                <w:bCs/>
                <w:sz w:val="20"/>
                <w:szCs w:val="20"/>
              </w:rPr>
              <w:t xml:space="preserve">numerator</w:t>
            </w:r>
          </w:p>
          <w:p>
            <w:r>
              <w:rPr>
                <w:color w:val="6B7280"/>
                <w:sz w:val="17"/>
                <w:szCs w:val="17"/>
              </w:rPr>
              <w:t xml:space="preserve">Not every word is used.</w:t>
            </w:r>
          </w:p>
        </w:tc>
      </w:tr>
    </w:tbl>
    <w:p/>
    <w:p>
      <w:pPr>
        <w:spacing w:before="40" w:after="110" w:line="300" w:lineRule="auto"/>
      </w:pPr>
      <w:r>
        <w:rPr>
          <w:b/>
          <w:color w:val="2B6CB0"/>
          <w:sz w:val="13"/>
        </w:rPr>
        <w:t xml:space="preserve">R2  </w:t>
      </w:r>
      <w:r>
        <w:rPr>
          <w:sz w:val="21"/>
          <w:szCs w:val="21"/>
        </w:rPr>
        <w:t xml:space="preserve">Preferred shareholders are paid before common shareholders, so their dividend is not available to the common ones. It is </w:t>
      </w:r>
      <w:r>
        <w:rPr>
          <w:vertAlign w:val="superscript"/>
          <w:color w:val="353A7C"/>
          <w:b/>
          <w:sz w:val="16"/>
        </w:rPr>
        <w:t>5</w:t>
      </w:r>
      <w:r>
        <w:rPr>
          <w:u w:val="single"/>
          <w:sz w:val="21"/>
          <w:szCs w:val="21"/>
        </w:rPr>
        <w:t xml:space="preserve">               </w:t>
      </w:r>
      <w:r>
        <w:rPr>
          <w:sz w:val="21"/>
          <w:szCs w:val="21"/>
        </w:rPr>
        <w:t xml:space="preserve"> from net income before the division.</w:t>
      </w:r>
    </w:p>
    <w:p>
      <w:pPr>
        <w:spacing w:before="40" w:after="110" w:line="300" w:lineRule="auto"/>
      </w:pPr>
      <w:r>
        <w:rPr>
          <w:sz w:val="21"/>
          <w:szCs w:val="21"/>
        </w:rPr>
        <w:t xml:space="preserve">A company earning $500,000 with a $60,000 preferred requirement has $440,000 available to common shareholders, and it is that figure, not the $500,000, that becomes the </w:t>
      </w:r>
      <w:r>
        <w:rPr>
          <w:vertAlign w:val="superscript"/>
          <w:color w:val="353A7C"/>
          <w:b/>
          <w:sz w:val="16"/>
        </w:rPr>
        <w:t>6</w:t>
      </w:r>
      <w:r>
        <w:rPr>
          <w:u w:val="single"/>
          <w:sz w:val="21"/>
          <w:szCs w:val="21"/>
        </w:rPr>
        <w:t xml:space="preserve">                </w:t>
      </w:r>
      <w:r>
        <w:rPr>
          <w:sz w:val="21"/>
          <w:szCs w:val="21"/>
        </w:rPr>
        <w:t xml:space="preserve">.</w:t>
      </w:r>
    </w:p>
    <w:p>
      <w:pPr>
        <w:spacing w:before="40" w:after="110" w:line="300" w:lineRule="auto"/>
      </w:pPr>
      <w:r>
        <w:rPr>
          <w:sz w:val="21"/>
          <w:szCs w:val="21"/>
        </w:rPr>
        <w:t xml:space="preserve">Whether the dividend has actually been declared may not matter. On </w:t>
      </w:r>
      <w:r>
        <w:rPr>
          <w:vertAlign w:val="superscript"/>
          <w:color w:val="353A7C"/>
          <w:b/>
          <w:sz w:val="16"/>
        </w:rPr>
        <w:t>7</w:t>
      </w:r>
      <w:r>
        <w:rPr>
          <w:u w:val="single"/>
          <w:sz w:val="21"/>
          <w:szCs w:val="21"/>
        </w:rPr>
        <w:t xml:space="preserve">                  </w:t>
      </w:r>
      <w:r>
        <w:rPr>
          <w:sz w:val="21"/>
          <w:szCs w:val="21"/>
        </w:rPr>
        <w:t xml:space="preserve"> preferred stock the entitlement builds up whether or not a dividend is declared, so the year’s requirement is deducted either way.</w:t>
      </w:r>
    </w:p>
    <w:p>
      <w:pPr>
        <w:spacing w:before="40" w:after="110" w:line="300" w:lineRule="auto"/>
      </w:pPr>
      <w:r>
        <w:rPr>
          <w:sz w:val="21"/>
          <w:szCs w:val="21"/>
        </w:rPr>
        <w:t xml:space="preserve">On non-cumulative preferred stock only a dividend actually </w:t>
      </w:r>
      <w:r>
        <w:rPr>
          <w:vertAlign w:val="superscript"/>
          <w:color w:val="353A7C"/>
          <w:b/>
          <w:sz w:val="16"/>
        </w:rPr>
        <w:t>8</w:t>
      </w:r>
      <w:r>
        <w:rPr>
          <w:u w:val="single"/>
          <w:sz w:val="21"/>
          <w:szCs w:val="21"/>
        </w:rPr>
        <w:t xml:space="preserve">               </w:t>
      </w:r>
      <w:r>
        <w:rPr>
          <w:sz w:val="21"/>
          <w:szCs w:val="21"/>
        </w:rPr>
        <w:t xml:space="preserve"> is deducted, because nothing accumulates if the board passes it.</w:t>
      </w:r>
    </w:p>
    <w:p>
      <w:pPr>
        <w:spacing w:after="40" w:before="90"/>
        <w:jc w:val="center"/>
      </w:pPr>
      <w:r>
        <w:drawing>
          <wp:inline distT="0" distB="0" distL="0" distR="0">
            <wp:extent cx="5734050" cy="256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5734050" cy="2561200"/>
                    </a:xfrm>
                    <a:prstGeom prst="rect">
                      <a:avLst/>
                    </a:prstGeom>
                  </pic:spPr>
                </pic:pic>
              </a:graphicData>
            </a:graphic>
          </wp:inline>
        </w:drawing>
      </w:r>
    </w:p>
    <w:p>
      <w:pPr>
        <w:shd w:fill="353A7C" w:val="clear"/>
        <w:spacing w:after="80" w:before="230"/>
      </w:pPr>
      <w:r>
        <w:rPr>
          <w:b/>
          <w:bCs/>
          <w:color w:val="FFFFFF"/>
          <w:sz w:val="26"/>
          <w:szCs w:val="26"/>
        </w:rPr>
        <w:t xml:space="preserve">  Part 4 · The changes that are not weighted</w:t>
      </w:r>
      <w:r>
        <w:rPr>
          <w:b/>
          <w:bCs/>
          <w:color w:val="FFFFFF"/>
          <w:sz w:val="16"/>
          <w:szCs w:val="16"/>
        </w:rPr>
        <w:t xml:space="preserve">    stock dividends and splits</w:t>
      </w:r>
    </w:p>
    <w:p>
      <w:pPr>
        <w:spacing w:before="230" w:after="80"/>
        <w:pBdr>
          <w:top w:val="single" w:sz="12" w:space="7" w:color="353A7C"/>
        </w:pBdr>
      </w:pPr>
      <w:r>
        <w:rPr>
          <w:b/>
          <w:bCs/>
          <w:color w:val="353A7C"/>
          <w:sz w:val="22"/>
          <w:szCs w:val="22"/>
        </w:rPr>
        <w:t xml:space="preserve">Exercise 1D   </w:t>
      </w:r>
      <w:r>
        <w:rPr>
          <w:b/>
          <w:bCs/>
          <w:sz w:val="21"/>
          <w:szCs w:val="21"/>
        </w:rPr>
        <w:t xml:space="preserve">Sort each change into the column it belongs in.</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Say which share changes are weighted and which apply to every period presented.</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1B, and Volume 8 Handout 3 on stock dividends and splits.</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Ask of each change whether the company received anything for the new shares. Where it received nothing, a retroactive restatement is required.</w:t>
            </w:r>
          </w:p>
          <w:p>
            <w:pPr>
              <w:spacing w:after="30"/>
            </w:pPr>
            <w:r>
              <w:rPr>
                <w:color w:val="353A7C"/>
                <w:sz w:val="18"/>
                <w:szCs w:val="18"/>
              </w:rPr>
              <w:t xml:space="preserve">•  </w:t>
            </w:r>
            <w:r>
              <w:rPr>
                <w:sz w:val="18"/>
                <w:szCs w:val="18"/>
              </w:rPr>
              <w:t xml:space="preserve">A share issue for cash brings in resources from a date; a stock dividend brings in nothing at all.</w:t>
            </w:r>
          </w:p>
          <w:p>
            <w:pPr>
              <w:spacing w:after="30"/>
            </w:pPr>
            <w:r>
              <w:rPr>
                <w:color w:val="353A7C"/>
                <w:sz w:val="18"/>
                <w:szCs w:val="18"/>
              </w:rPr>
              <w:t xml:space="preserve">•  </w:t>
            </w:r>
            <w:r>
              <w:rPr>
                <w:sz w:val="18"/>
                <w:szCs w:val="18"/>
              </w:rPr>
              <w:t xml:space="preserve">If the share count doubles and nothing was received, every earlier figure has to be restated or the series is meaningless.</w:t>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72"/>
        <w:gridCol w:w="14"/>
        <w:gridCol w:w="14"/>
      </w:tblGrid>
      <w:tr>
        <w:tc>
          <w:tcPr>
            <w:shd w:fill="353A7C" w:val="clear"/>
            <w:tcMar>
              <w:top w:type="dxa" w:w="55"/>
              <w:left w:type="dxa" w:w="115"/>
              <w:bottom w:type="dxa" w:w="55"/>
              <w:right w:type="dxa" w:w="115"/>
            </w:tcMar>
          </w:tcPr>
          <w:p>
            <w:r>
              <w:rPr>
                <w:b/>
                <w:bCs/>
                <w:color w:val="FFFFFF"/>
                <w:sz w:val="17"/>
                <w:szCs w:val="17"/>
              </w:rPr>
              <w:t xml:space="preserve">Change in the share count</w:t>
            </w:r>
          </w:p>
        </w:tc>
        <w:tc>
          <w:tcPr>
            <w:shd w:fill="353A7C" w:val="clear"/>
            <w:tcMar>
              <w:top w:type="dxa" w:w="55"/>
              <w:left w:type="dxa" w:w="115"/>
              <w:bottom w:type="dxa" w:w="55"/>
              <w:right w:type="dxa" w:w="115"/>
            </w:tcMar>
          </w:tcPr>
          <w:p>
            <w:pPr>
              <w:jc w:val="center"/>
            </w:pPr>
            <w:r>
              <w:rPr>
                <w:b/>
                <w:bCs/>
                <w:color w:val="FFFFFF"/>
                <w:sz w:val="17"/>
                <w:szCs w:val="17"/>
              </w:rPr>
              <w:t xml:space="preserve">WEIGHTED FROM ITS DATE</w:t>
            </w:r>
          </w:p>
        </w:tc>
        <w:tc>
          <w:tcPr>
            <w:shd w:fill="353A7C" w:val="clear"/>
            <w:tcMar>
              <w:top w:type="dxa" w:w="55"/>
              <w:left w:type="dxa" w:w="115"/>
              <w:bottom w:type="dxa" w:w="55"/>
              <w:right w:type="dxa" w:w="115"/>
            </w:tcMar>
          </w:tcPr>
          <w:p>
            <w:pPr>
              <w:jc w:val="center"/>
            </w:pPr>
            <w:r>
              <w:rPr>
                <w:b/>
                <w:bCs/>
                <w:color w:val="FFFFFF"/>
                <w:sz w:val="17"/>
                <w:szCs w:val="17"/>
              </w:rPr>
              <w:t xml:space="preserve">APPLIED RETROACTIVELY</w:t>
            </w:r>
          </w:p>
        </w:tc>
      </w:tr>
      <w:tr>
        <w:tc>
          <w:tcPr>
            <w:tcMar>
              <w:top w:type="dxa" w:w="45"/>
              <w:left w:type="dxa" w:w="105"/>
              <w:bottom w:type="dxa" w:w="45"/>
              <w:right w:type="dxa" w:w="105"/>
            </w:tcMar>
          </w:tcPr>
          <w:p>
            <w:r>
              <w:rPr>
                <w:sz w:val="18"/>
                <w:szCs w:val="18"/>
              </w:rPr>
              <w:t xml:space="preserve">1.  Shares issued for cash on 1 April</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2.  A 10% stock dividend</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3.  A 2 for 1 stock split</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4.  Treasury shares bought back on 1 July</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5.  Shares issued to acquire a building</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6.  A reverse split</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bl>
    <w:p/>
    <w:p>
      <w:pPr>
        <w:spacing w:after="40" w:before="90"/>
        <w:jc w:val="center"/>
      </w:pPr>
      <w:r>
        <w:drawing>
          <wp:inline distT="0" distB="0" distL="0" distR="0">
            <wp:extent cx="5734050" cy="1720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5734050" cy="1720225"/>
                    </a:xfrm>
                    <a:prstGeom prst="rect">
                      <a:avLst/>
                    </a:prstGeom>
                  </pic:spPr>
                </pic:pic>
              </a:graphicData>
            </a:graphic>
          </wp:inline>
        </w:drawing>
      </w:r>
    </w:p>
    <w:p>
      <w:pPr>
        <w:shd w:fill="353A7C" w:val="clear"/>
        <w:spacing w:after="80" w:before="230"/>
      </w:pPr>
      <w:r>
        <w:rPr>
          <w:b/>
          <w:bCs/>
          <w:color w:val="FFFFFF"/>
          <w:sz w:val="26"/>
          <w:szCs w:val="26"/>
        </w:rPr>
        <w:t xml:space="preserve">  Part 5 · Presenting it</w:t>
      </w:r>
      <w:r>
        <w:rPr>
          <w:b/>
          <w:bCs/>
          <w:color w:val="FFFFFF"/>
          <w:sz w:val="16"/>
          <w:szCs w:val="16"/>
        </w:rPr>
        <w:t xml:space="preserve">    one line for each component of income</w:t>
      </w:r>
    </w:p>
    <w:p>
      <w:pPr>
        <w:spacing w:before="230" w:after="80"/>
        <w:pBdr>
          <w:top w:val="single" w:sz="12" w:space="7" w:color="353A7C"/>
        </w:pBdr>
      </w:pPr>
      <w:r>
        <w:rPr>
          <w:b/>
          <w:bCs/>
          <w:color w:val="353A7C"/>
          <w:sz w:val="22"/>
          <w:szCs w:val="22"/>
        </w:rPr>
        <w:t xml:space="preserve">Exercise 1E   </w:t>
      </w:r>
      <w:r>
        <w:rPr>
          <w:b/>
          <w:bCs/>
          <w:sz w:val="21"/>
          <w:szCs w:val="21"/>
        </w:rPr>
        <w:t xml:space="preserve">Complete the right-hand column. The same denominator serves every row.</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Present earnings per share for each component of income.</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1B, and Volume 9 Handout 3 on discontinued operations.</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Use the 291,750 weighted average from Exercise 1B for every row.</w:t>
            </w:r>
          </w:p>
          <w:p>
            <w:pPr>
              <w:spacing w:after="30"/>
            </w:pPr>
            <w:r>
              <w:rPr>
                <w:color w:val="353A7C"/>
                <w:sz w:val="18"/>
                <w:szCs w:val="18"/>
              </w:rPr>
              <w:t xml:space="preserve">•  </w:t>
            </w:r>
            <w:r>
              <w:rPr>
                <w:sz w:val="18"/>
                <w:szCs w:val="18"/>
              </w:rPr>
              <w:t xml:space="preserve">Volume 9 reported a loss from discontinued operations of $150,000 net of tax. It gets its own per-share line.</w:t>
            </w:r>
          </w:p>
          <w:p>
            <w:pPr>
              <w:spacing w:after="30"/>
            </w:pPr>
            <w:r>
              <w:rPr>
                <w:color w:val="353A7C"/>
                <w:sz w:val="18"/>
                <w:szCs w:val="18"/>
              </w:rPr>
              <w:t xml:space="preserve">•  </w:t>
            </w:r>
            <w:r>
              <w:rPr>
                <w:sz w:val="18"/>
                <w:szCs w:val="18"/>
              </w:rPr>
              <w:t xml:space="preserve">The three per-share figures must add the same way the three income figures do.</w:t>
            </w:r>
          </w:p>
        </w:tc>
      </w:tr>
    </w:tbl>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44"/>
        <w:gridCol w:w="28"/>
        <w:gridCol w:w="28"/>
      </w:tblGrid>
      <w:tr>
        <w:tc>
          <w:tcPr>
            <w:shd w:fill="1F6F8F" w:val="clear"/>
            <w:tcMar>
              <w:top w:type="dxa" w:w="60"/>
              <w:left w:type="dxa" w:w="120"/>
              <w:bottom w:type="dxa" w:w="60"/>
              <w:right w:type="dxa" w:w="120"/>
            </w:tcMar>
          </w:tcPr>
          <w:p>
            <w:r>
              <w:rPr>
                <w:b/>
                <w:bCs/>
                <w:color w:val="FFFFFF"/>
                <w:sz w:val="19"/>
                <w:szCs w:val="19"/>
              </w:rPr>
              <w:t xml:space="preserve">Earnings per share for 20X4</w:t>
            </w:r>
          </w:p>
        </w:tc>
        <w:tc>
          <w:tcPr>
            <w:shd w:fill="1F6F8F" w:val="clear"/>
            <w:tcMar>
              <w:top w:type="dxa" w:w="60"/>
              <w:left w:type="dxa" w:w="120"/>
              <w:bottom w:type="dxa" w:w="60"/>
              <w:right w:type="dxa" w:w="120"/>
            </w:tcMar>
          </w:tcPr>
          <w:p>
            <w:r>
              <w:rPr>
                <w:b/>
                <w:bCs/>
                <w:color w:val="FFFFFF"/>
                <w:sz w:val="19"/>
                <w:szCs w:val="19"/>
              </w:rPr>
              <w:t xml:space="preserve">Amount</w:t>
            </w:r>
          </w:p>
        </w:tc>
        <w:tc>
          <w:tcPr>
            <w:shd w:fill="1F6F8F" w:val="clear"/>
            <w:tcMar>
              <w:top w:type="dxa" w:w="60"/>
              <w:left w:type="dxa" w:w="120"/>
              <w:bottom w:type="dxa" w:w="60"/>
              <w:right w:type="dxa" w:w="120"/>
            </w:tcMar>
          </w:tcPr>
          <w:p>
            <w:r>
              <w:rPr>
                <w:b/>
                <w:bCs/>
                <w:color w:val="FFFFFF"/>
                <w:sz w:val="19"/>
                <w:szCs w:val="19"/>
              </w:rPr>
              <w:t xml:space="preserve">Per share</w:t>
            </w:r>
          </w:p>
        </w:tc>
      </w:tr>
      <w:tr>
        <w:tc>
          <w:tcPr>
            <w:tcMar>
              <w:top w:type="dxa" w:w="60"/>
              <w:left w:type="dxa" w:w="120"/>
              <w:bottom w:type="dxa" w:w="60"/>
              <w:right w:type="dxa" w:w="120"/>
            </w:tcMar>
          </w:tcPr>
          <w:p>
            <w:r>
              <w:rPr>
                <w:sz w:val="19"/>
                <w:szCs w:val="19"/>
              </w:rPr>
              <w:t xml:space="preserve">Income from continuing operations</w:t>
            </w:r>
          </w:p>
        </w:tc>
        <w:tc>
          <w:tcPr>
            <w:tcMar>
              <w:top w:type="dxa" w:w="60"/>
              <w:left w:type="dxa" w:w="120"/>
              <w:bottom w:type="dxa" w:w="60"/>
              <w:right w:type="dxa" w:w="120"/>
            </w:tcMar>
          </w:tcPr>
          <w:p>
            <w:r>
              <w:rPr>
                <w:sz w:val="19"/>
                <w:szCs w:val="19"/>
              </w:rPr>
              <w:t xml:space="preserve">$510,000</w:t>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Loss from discontinued operations, net of tax</w:t>
            </w:r>
          </w:p>
        </w:tc>
        <w:tc>
          <w:tcPr>
            <w:tcMar>
              <w:top w:type="dxa" w:w="60"/>
              <w:left w:type="dxa" w:w="120"/>
              <w:bottom w:type="dxa" w:w="60"/>
              <w:right w:type="dxa" w:w="120"/>
            </w:tcMar>
          </w:tcPr>
          <w:p>
            <w:r>
              <w:rPr>
                <w:sz w:val="19"/>
                <w:szCs w:val="19"/>
              </w:rPr>
              <w:t xml:space="preserve">($150,000)</w:t>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Net income</w:t>
            </w:r>
          </w:p>
        </w:tc>
        <w:tc>
          <w:tcPr>
            <w:tcMar>
              <w:top w:type="dxa" w:w="60"/>
              <w:left w:type="dxa" w:w="120"/>
              <w:bottom w:type="dxa" w:w="60"/>
              <w:right w:type="dxa" w:w="120"/>
            </w:tcMar>
          </w:tcPr>
          <w:p>
            <w:r>
              <w:rPr>
                <w:sz w:val="19"/>
                <w:szCs w:val="19"/>
              </w:rPr>
              <w:t xml:space="preserve">$360,000</w:t>
            </w:r>
          </w:p>
        </w:tc>
        <w:tc>
          <w:tcPr>
            <w:tcMar>
              <w:top w:type="dxa" w:w="60"/>
              <w:left w:type="dxa" w:w="120"/>
              <w:bottom w:type="dxa" w:w="60"/>
              <w:right w:type="dxa" w:w="120"/>
            </w:tcMar>
          </w:tcPr>
          <w:p>
            <w:r>
              <w:rPr>
                <w:sz w:val="19"/>
                <w:szCs w:val="19"/>
              </w:rPr>
              <w:t xml:space="preserve"/>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16"/>
        <w:gridCol w:w="16"/>
        <w:gridCol w:w="16"/>
        <w:gridCol w:w="16"/>
        <w:gridCol w:w="16"/>
        <w:gridCol w:w="16"/>
      </w:tblGrid>
      <w:tr>
        <w:tc>
          <w:tcPr>
            <w:tcMar>
              <w:top w:type="dxa" w:w="60"/>
              <w:left w:type="dxa" w:w="120"/>
              <w:bottom w:type="dxa" w:w="60"/>
              <w:right w:type="dxa" w:w="120"/>
            </w:tcMar>
          </w:tcPr>
          <w:p>
            <w:r>
              <w:rPr>
                <w:b/>
                <w:bCs/>
                <w:color w:val="353A7C"/>
                <w:sz w:val="15"/>
                <w:szCs w:val="15"/>
              </w:rPr>
              <w:t xml:space="preserve">1</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2</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3</w:t>
            </w:r>
          </w:p>
          <w:p>
            <w:r>
              <w:rPr>
                <w:sz w:val="24"/>
                <w:szCs w:val="24"/>
              </w:rPr>
              <w:t xml:space="preserve"> </w:t>
            </w:r>
          </w:p>
        </w:tc>
      </w:tr>
    </w:tbl>
    <w:p/>
    <w:p>
      <w:pPr>
        <w:spacing w:after="40" w:before="90"/>
        <w:jc w:val="center"/>
      </w:pPr>
      <w:r>
        <w:drawing>
          <wp:inline distT="0" distB="0" distL="0" distR="0">
            <wp:extent cx="5734050" cy="2624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5734050" cy="2624925"/>
                    </a:xfrm>
                    <a:prstGeom prst="rect">
                      <a:avLst/>
                    </a:prstGeom>
                  </pic:spPr>
                </pic:pic>
              </a:graphicData>
            </a:graphic>
          </wp:inline>
        </w:drawing>
      </w:r>
    </w:p>
    <w:p>
      <w:pPr>
        <w:shd w:fill="FDEEEC" w:val="clear"/>
        <w:spacing w:after="100" w:before="60"/>
      </w:pPr>
      <w:r>
        <w:rPr>
          <w:b/>
          <w:bCs/>
          <w:color w:val="C0483F"/>
          <w:sz w:val="20"/>
          <w:szCs w:val="20"/>
        </w:rPr>
        <w:t xml:space="preserve">  Watch out!  </w:t>
      </w:r>
      <w:r>
        <w:rPr>
          <w:sz w:val="20"/>
          <w:szCs w:val="20"/>
        </w:rPr>
        <w:t xml:space="preserve">Earnings per share uses net income, not comprehensive income. Volume 9 reported $534,000 of comprehensive income against $510,000 of net income, and the $24,000 difference never reaches any per-share figure.  </w:t>
      </w:r>
    </w:p>
    <w:p>
      <w:pPr>
        <w:shd w:fill="353A7C" w:val="clear"/>
        <w:spacing w:after="80" w:before="230"/>
      </w:pPr>
      <w:r>
        <w:rPr>
          <w:b/>
          <w:bCs/>
          <w:color w:val="FFFFFF"/>
          <w:sz w:val="26"/>
          <w:szCs w:val="26"/>
        </w:rPr>
        <w:t xml:space="preserve">  Part 6 · Exam pitch</w:t>
      </w:r>
      <w:r>
        <w:rPr>
          <w:b/>
          <w:bCs/>
          <w:color w:val="FFFFFF"/>
          <w:sz w:val="16"/>
          <w:szCs w:val="16"/>
        </w:rPr>
        <w:t xml:space="preserve">    the questions as the CMA sets them</w:t>
      </w:r>
    </w:p>
    <w:p>
      <w:pPr>
        <w:spacing w:before="150" w:after="60"/>
      </w:pPr>
      <w:r>
        <w:rPr>
          <w:b/>
          <w:bCs/>
          <w:color w:val="353A7C"/>
          <w:sz w:val="19"/>
          <w:szCs w:val="19"/>
        </w:rPr>
        <w:t xml:space="preserve">1.  [Level A]  </w:t>
      </w:r>
      <w:r>
        <w:rPr>
          <w:b/>
          <w:bCs/>
          <w:sz w:val="19"/>
          <w:szCs w:val="19"/>
        </w:rPr>
        <w:t xml:space="preserve">The denominator of basic earnings per share is:</w:t>
      </w:r>
    </w:p>
    <w:p>
      <w:pPr>
        <w:ind w:left="340"/>
        <w:spacing w:after="30"/>
      </w:pPr>
      <w:r>
        <w:rPr>
          <w:color w:val="6B7280"/>
          <w:sz w:val="19"/>
          <w:szCs w:val="19"/>
        </w:rPr>
        <w:t xml:space="preserve">(A)  </w:t>
      </w:r>
      <w:r>
        <w:rPr>
          <w:sz w:val="19"/>
          <w:szCs w:val="19"/>
        </w:rPr>
        <w:t xml:space="preserve">Shares issued at the year end</w:t>
      </w:r>
    </w:p>
    <w:p>
      <w:pPr>
        <w:ind w:left="340"/>
        <w:spacing w:after="30"/>
      </w:pPr>
      <w:r>
        <w:rPr>
          <w:color w:val="6B7280"/>
          <w:sz w:val="19"/>
          <w:szCs w:val="19"/>
        </w:rPr>
        <w:t xml:space="preserve">(B)  </w:t>
      </w:r>
      <w:r>
        <w:rPr>
          <w:sz w:val="19"/>
          <w:szCs w:val="19"/>
        </w:rPr>
        <w:t xml:space="preserve">Weighted average shares outstanding</w:t>
      </w:r>
    </w:p>
    <w:p>
      <w:pPr>
        <w:ind w:left="340"/>
        <w:spacing w:after="30"/>
      </w:pPr>
      <w:r>
        <w:rPr>
          <w:color w:val="6B7280"/>
          <w:sz w:val="19"/>
          <w:szCs w:val="19"/>
        </w:rPr>
        <w:t xml:space="preserve">(C)  </w:t>
      </w:r>
      <w:r>
        <w:rPr>
          <w:sz w:val="19"/>
          <w:szCs w:val="19"/>
        </w:rPr>
        <w:t xml:space="preserve">Shares outstanding at the year end</w:t>
      </w:r>
    </w:p>
    <w:p>
      <w:pPr>
        <w:ind w:left="340"/>
        <w:spacing w:after="30"/>
      </w:pPr>
      <w:r>
        <w:rPr>
          <w:color w:val="6B7280"/>
          <w:sz w:val="19"/>
          <w:szCs w:val="19"/>
        </w:rPr>
        <w:t xml:space="preserve">(D)  </w:t>
      </w:r>
      <w:r>
        <w:rPr>
          <w:sz w:val="19"/>
          <w:szCs w:val="19"/>
        </w:rPr>
        <w:t xml:space="preserve">Shares authorised</w:t>
      </w:r>
    </w:p>
    <w:p>
      <w:pPr>
        <w:spacing w:before="150" w:after="60"/>
      </w:pPr>
      <w:r>
        <w:rPr>
          <w:b/>
          <w:bCs/>
          <w:color w:val="353A7C"/>
          <w:sz w:val="19"/>
          <w:szCs w:val="19"/>
        </w:rPr>
        <w:t xml:space="preserve">2.  [Level A]  </w:t>
      </w:r>
      <w:r>
        <w:rPr>
          <w:b/>
          <w:bCs/>
          <w:sz w:val="19"/>
          <w:szCs w:val="19"/>
        </w:rPr>
        <w:t xml:space="preserve">A company has 280,000 shares outstanding all year and issues 20,000 more on 1 April. The weighted average is:</w:t>
      </w:r>
    </w:p>
    <w:p>
      <w:pPr>
        <w:ind w:left="340"/>
        <w:spacing w:after="30"/>
      </w:pPr>
      <w:r>
        <w:rPr>
          <w:color w:val="6B7280"/>
          <w:sz w:val="19"/>
          <w:szCs w:val="19"/>
        </w:rPr>
        <w:t xml:space="preserve">(A)  </w:t>
      </w:r>
      <w:r>
        <w:rPr>
          <w:sz w:val="19"/>
          <w:szCs w:val="19"/>
        </w:rPr>
        <w:t xml:space="preserve">300,000</w:t>
      </w:r>
    </w:p>
    <w:p>
      <w:pPr>
        <w:ind w:left="340"/>
        <w:spacing w:after="30"/>
      </w:pPr>
      <w:r>
        <w:rPr>
          <w:color w:val="6B7280"/>
          <w:sz w:val="19"/>
          <w:szCs w:val="19"/>
        </w:rPr>
        <w:t xml:space="preserve">(B)  </w:t>
      </w:r>
      <w:r>
        <w:rPr>
          <w:sz w:val="19"/>
          <w:szCs w:val="19"/>
        </w:rPr>
        <w:t xml:space="preserve">295,000</w:t>
      </w:r>
    </w:p>
    <w:p>
      <w:pPr>
        <w:ind w:left="340"/>
        <w:spacing w:after="30"/>
      </w:pPr>
      <w:r>
        <w:rPr>
          <w:color w:val="6B7280"/>
          <w:sz w:val="19"/>
          <w:szCs w:val="19"/>
        </w:rPr>
        <w:t xml:space="preserve">(C)  </w:t>
      </w:r>
      <w:r>
        <w:rPr>
          <w:sz w:val="19"/>
          <w:szCs w:val="19"/>
        </w:rPr>
        <w:t xml:space="preserve">280,000</w:t>
      </w:r>
    </w:p>
    <w:p>
      <w:pPr>
        <w:ind w:left="340"/>
        <w:spacing w:after="30"/>
      </w:pPr>
      <w:r>
        <w:rPr>
          <w:color w:val="6B7280"/>
          <w:sz w:val="19"/>
          <w:szCs w:val="19"/>
        </w:rPr>
        <w:t xml:space="preserve">(D)  </w:t>
      </w:r>
      <w:r>
        <w:rPr>
          <w:sz w:val="19"/>
          <w:szCs w:val="19"/>
        </w:rPr>
        <w:t xml:space="preserve">285,000</w:t>
      </w:r>
    </w:p>
    <w:p>
      <w:pPr>
        <w:spacing w:before="150" w:after="60"/>
      </w:pPr>
      <w:r>
        <w:rPr>
          <w:b/>
          <w:bCs/>
          <w:color w:val="353A7C"/>
          <w:sz w:val="19"/>
          <w:szCs w:val="19"/>
        </w:rPr>
        <w:t xml:space="preserve">3.  [Level B]  </w:t>
      </w:r>
      <w:r>
        <w:rPr>
          <w:b/>
          <w:bCs/>
          <w:sz w:val="19"/>
          <w:szCs w:val="19"/>
        </w:rPr>
        <w:t xml:space="preserve">Income available to common shareholders is net income less:</w:t>
      </w:r>
    </w:p>
    <w:p>
      <w:pPr>
        <w:ind w:left="340"/>
        <w:spacing w:after="30"/>
      </w:pPr>
      <w:r>
        <w:rPr>
          <w:color w:val="6B7280"/>
          <w:sz w:val="19"/>
          <w:szCs w:val="19"/>
        </w:rPr>
        <w:t xml:space="preserve">(A)  </w:t>
      </w:r>
      <w:r>
        <w:rPr>
          <w:sz w:val="19"/>
          <w:szCs w:val="19"/>
        </w:rPr>
        <w:t xml:space="preserve">Dividends declared on common stock</w:t>
      </w:r>
    </w:p>
    <w:p>
      <w:pPr>
        <w:ind w:left="340"/>
        <w:spacing w:after="30"/>
      </w:pPr>
      <w:r>
        <w:rPr>
          <w:color w:val="6B7280"/>
          <w:sz w:val="19"/>
          <w:szCs w:val="19"/>
        </w:rPr>
        <w:t xml:space="preserve">(B)  </w:t>
      </w:r>
      <w:r>
        <w:rPr>
          <w:sz w:val="19"/>
          <w:szCs w:val="19"/>
        </w:rPr>
        <w:t xml:space="preserve">Preferred dividends</w:t>
      </w:r>
    </w:p>
    <w:p>
      <w:pPr>
        <w:ind w:left="340"/>
        <w:spacing w:after="30"/>
      </w:pPr>
      <w:r>
        <w:rPr>
          <w:color w:val="6B7280"/>
          <w:sz w:val="19"/>
          <w:szCs w:val="19"/>
        </w:rPr>
        <w:t xml:space="preserve">(C)  </w:t>
      </w:r>
      <w:r>
        <w:rPr>
          <w:sz w:val="19"/>
          <w:szCs w:val="19"/>
        </w:rPr>
        <w:t xml:space="preserve">All dividends declared</w:t>
      </w:r>
    </w:p>
    <w:p>
      <w:pPr>
        <w:ind w:left="340"/>
        <w:spacing w:after="30"/>
      </w:pPr>
      <w:r>
        <w:rPr>
          <w:color w:val="6B7280"/>
          <w:sz w:val="19"/>
          <w:szCs w:val="19"/>
        </w:rPr>
        <w:t xml:space="preserve">(D)  </w:t>
      </w:r>
      <w:r>
        <w:rPr>
          <w:sz w:val="19"/>
          <w:szCs w:val="19"/>
        </w:rPr>
        <w:t xml:space="preserve">Interest on convertible debt</w:t>
      </w:r>
    </w:p>
    <w:p>
      <w:pPr>
        <w:spacing w:before="150" w:after="60"/>
      </w:pPr>
      <w:r>
        <w:rPr>
          <w:b/>
          <w:bCs/>
          <w:color w:val="353A7C"/>
          <w:sz w:val="19"/>
          <w:szCs w:val="19"/>
        </w:rPr>
        <w:t xml:space="preserve">4.  [Level B]  </w:t>
      </w:r>
      <w:r>
        <w:rPr>
          <w:b/>
          <w:bCs/>
          <w:sz w:val="19"/>
          <w:szCs w:val="19"/>
        </w:rPr>
        <w:t xml:space="preserve">A 2 for 1 stock split occurs in November. In computing earnings per share for the year it is:</w:t>
      </w:r>
    </w:p>
    <w:p>
      <w:pPr>
        <w:ind w:left="340"/>
        <w:spacing w:after="30"/>
      </w:pPr>
      <w:r>
        <w:rPr>
          <w:color w:val="6B7280"/>
          <w:sz w:val="19"/>
          <w:szCs w:val="19"/>
        </w:rPr>
        <w:t xml:space="preserve">(A)  </w:t>
      </w:r>
      <w:r>
        <w:rPr>
          <w:sz w:val="19"/>
          <w:szCs w:val="19"/>
        </w:rPr>
        <w:t xml:space="preserve">Weighted for the two months it was in force</w:t>
      </w:r>
    </w:p>
    <w:p>
      <w:pPr>
        <w:ind w:left="340"/>
        <w:spacing w:after="30"/>
      </w:pPr>
      <w:r>
        <w:rPr>
          <w:color w:val="6B7280"/>
          <w:sz w:val="19"/>
          <w:szCs w:val="19"/>
        </w:rPr>
        <w:t xml:space="preserve">(B)  </w:t>
      </w:r>
      <w:r>
        <w:rPr>
          <w:sz w:val="19"/>
          <w:szCs w:val="19"/>
        </w:rPr>
        <w:t xml:space="preserve">Applied to the whole year and to every prior year presented</w:t>
      </w:r>
    </w:p>
    <w:p>
      <w:pPr>
        <w:ind w:left="340"/>
        <w:spacing w:after="30"/>
      </w:pPr>
      <w:r>
        <w:rPr>
          <w:color w:val="6B7280"/>
          <w:sz w:val="19"/>
          <w:szCs w:val="19"/>
        </w:rPr>
        <w:t xml:space="preserve">(C)  </w:t>
      </w:r>
      <w:r>
        <w:rPr>
          <w:sz w:val="19"/>
          <w:szCs w:val="19"/>
        </w:rPr>
        <w:t xml:space="preserve">Ignored until the following year</w:t>
      </w:r>
    </w:p>
    <w:p>
      <w:pPr>
        <w:ind w:left="340"/>
        <w:spacing w:after="30"/>
      </w:pPr>
      <w:r>
        <w:rPr>
          <w:color w:val="6B7280"/>
          <w:sz w:val="19"/>
          <w:szCs w:val="19"/>
        </w:rPr>
        <w:t xml:space="preserve">(D)  </w:t>
      </w:r>
      <w:r>
        <w:rPr>
          <w:sz w:val="19"/>
          <w:szCs w:val="19"/>
        </w:rPr>
        <w:t xml:space="preserve">Weighted for ten months</w:t>
      </w:r>
    </w:p>
    <w:p>
      <w:pPr>
        <w:spacing w:before="150" w:after="60"/>
      </w:pPr>
      <w:r>
        <w:rPr>
          <w:b/>
          <w:bCs/>
          <w:color w:val="353A7C"/>
          <w:sz w:val="19"/>
          <w:szCs w:val="19"/>
        </w:rPr>
        <w:t xml:space="preserve">5.  [Level C]  </w:t>
      </w:r>
      <w:r>
        <w:rPr>
          <w:b/>
          <w:bCs/>
          <w:sz w:val="19"/>
          <w:szCs w:val="19"/>
        </w:rPr>
        <w:t xml:space="preserve">A company with cumulative preferred stock declares no preferred dividend this year. In computing EPS it:</w:t>
      </w:r>
    </w:p>
    <w:p>
      <w:pPr>
        <w:ind w:left="340"/>
        <w:spacing w:after="30"/>
      </w:pPr>
      <w:r>
        <w:rPr>
          <w:color w:val="6B7280"/>
          <w:sz w:val="19"/>
          <w:szCs w:val="19"/>
        </w:rPr>
        <w:t xml:space="preserve">(A)  </w:t>
      </w:r>
      <w:r>
        <w:rPr>
          <w:sz w:val="19"/>
          <w:szCs w:val="19"/>
        </w:rPr>
        <w:t xml:space="preserve">Deducts nothing</w:t>
      </w:r>
    </w:p>
    <w:p>
      <w:pPr>
        <w:ind w:left="340"/>
        <w:spacing w:after="30"/>
      </w:pPr>
      <w:r>
        <w:rPr>
          <w:color w:val="6B7280"/>
          <w:sz w:val="19"/>
          <w:szCs w:val="19"/>
        </w:rPr>
        <w:t xml:space="preserve">(B)  </w:t>
      </w:r>
      <w:r>
        <w:rPr>
          <w:sz w:val="19"/>
          <w:szCs w:val="19"/>
        </w:rPr>
        <w:t xml:space="preserve">Deducts the annual preferred requirement anyway</w:t>
      </w:r>
    </w:p>
    <w:p>
      <w:pPr>
        <w:ind w:left="340"/>
        <w:spacing w:after="30"/>
      </w:pPr>
      <w:r>
        <w:rPr>
          <w:color w:val="6B7280"/>
          <w:sz w:val="19"/>
          <w:szCs w:val="19"/>
        </w:rPr>
        <w:t xml:space="preserve">(C)  </w:t>
      </w:r>
      <w:r>
        <w:rPr>
          <w:sz w:val="19"/>
          <w:szCs w:val="19"/>
        </w:rPr>
        <w:t xml:space="preserve">Deducts twice the requirement</w:t>
      </w:r>
    </w:p>
    <w:p>
      <w:pPr>
        <w:ind w:left="340"/>
        <w:spacing w:after="30"/>
      </w:pPr>
      <w:r>
        <w:rPr>
          <w:color w:val="6B7280"/>
          <w:sz w:val="19"/>
          <w:szCs w:val="19"/>
        </w:rPr>
        <w:t xml:space="preserve">(D)  </w:t>
      </w:r>
      <w:r>
        <w:rPr>
          <w:sz w:val="19"/>
          <w:szCs w:val="19"/>
        </w:rPr>
        <w:t xml:space="preserve">Adds the requirement back</w:t>
      </w:r>
    </w:p>
    <w:p>
      <w:pPr>
        <w:spacing w:before="150" w:after="60"/>
      </w:pPr>
      <w:r>
        <w:rPr>
          <w:b/>
          <w:bCs/>
          <w:color w:val="353A7C"/>
          <w:sz w:val="19"/>
          <w:szCs w:val="19"/>
        </w:rPr>
        <w:t xml:space="preserve">6.  [Level C]  </w:t>
      </w:r>
      <w:r>
        <w:rPr>
          <w:b/>
          <w:bCs/>
          <w:sz w:val="19"/>
          <w:szCs w:val="19"/>
        </w:rPr>
        <w:t xml:space="preserve">Northwind repurchases shares and its earnings per share rises. This shows that:</w:t>
      </w:r>
    </w:p>
    <w:p>
      <w:pPr>
        <w:ind w:left="340"/>
        <w:spacing w:after="30"/>
      </w:pPr>
      <w:r>
        <w:rPr>
          <w:color w:val="6B7280"/>
          <w:sz w:val="19"/>
          <w:szCs w:val="19"/>
        </w:rPr>
        <w:t xml:space="preserve">(A)  </w:t>
      </w:r>
      <w:r>
        <w:rPr>
          <w:sz w:val="19"/>
          <w:szCs w:val="19"/>
        </w:rPr>
        <w:t xml:space="preserve">The company became more profitable</w:t>
      </w:r>
    </w:p>
    <w:p>
      <w:pPr>
        <w:ind w:left="340"/>
        <w:spacing w:after="30"/>
      </w:pPr>
      <w:r>
        <w:rPr>
          <w:color w:val="6B7280"/>
          <w:sz w:val="19"/>
          <w:szCs w:val="19"/>
        </w:rPr>
        <w:t xml:space="preserve">(B)  </w:t>
      </w:r>
      <w:r>
        <w:rPr>
          <w:sz w:val="19"/>
          <w:szCs w:val="19"/>
        </w:rPr>
        <w:t xml:space="preserve">The denominator fell while the numerator did not</w:t>
      </w:r>
    </w:p>
    <w:p>
      <w:pPr>
        <w:ind w:left="340"/>
        <w:spacing w:after="30"/>
      </w:pPr>
      <w:r>
        <w:rPr>
          <w:color w:val="6B7280"/>
          <w:sz w:val="19"/>
          <w:szCs w:val="19"/>
        </w:rPr>
        <w:t xml:space="preserve">(C)  </w:t>
      </w:r>
      <w:r>
        <w:rPr>
          <w:sz w:val="19"/>
          <w:szCs w:val="19"/>
        </w:rPr>
        <w:t xml:space="preserve">The share price rose</w:t>
      </w:r>
    </w:p>
    <w:p>
      <w:pPr>
        <w:ind w:left="340"/>
        <w:spacing w:after="30"/>
      </w:pPr>
      <w:r>
        <w:rPr>
          <w:color w:val="6B7280"/>
          <w:sz w:val="19"/>
          <w:szCs w:val="19"/>
        </w:rPr>
        <w:t xml:space="preserve">(D)  </w:t>
      </w:r>
      <w:r>
        <w:rPr>
          <w:sz w:val="19"/>
          <w:szCs w:val="19"/>
        </w:rPr>
        <w:t xml:space="preserve">A stock dividend was declared</w:t>
      </w:r>
    </w:p>
    <w:p>
      <w:pPr>
        <w:spacing w:before="150" w:after="60"/>
      </w:pPr>
      <w:r>
        <w:rPr>
          <w:b/>
          <w:bCs/>
          <w:color w:val="353A7C"/>
          <w:sz w:val="19"/>
          <w:szCs w:val="19"/>
        </w:rPr>
        <w:t xml:space="preserve">7.  [Level B]  </w:t>
      </w:r>
      <w:r>
        <w:rPr>
          <w:b/>
          <w:bCs/>
          <w:sz w:val="19"/>
          <w:szCs w:val="19"/>
        </w:rPr>
        <w:t xml:space="preserve">Which per-share figure may a company not present?</w:t>
      </w:r>
    </w:p>
    <w:p>
      <w:pPr>
        <w:ind w:left="340"/>
        <w:spacing w:after="30"/>
      </w:pPr>
      <w:r>
        <w:rPr>
          <w:color w:val="6B7280"/>
          <w:sz w:val="19"/>
          <w:szCs w:val="19"/>
        </w:rPr>
        <w:t xml:space="preserve">(A)  </w:t>
      </w:r>
      <w:r>
        <w:rPr>
          <w:sz w:val="19"/>
          <w:szCs w:val="19"/>
        </w:rPr>
        <w:t xml:space="preserve">Earnings per share from continuing operations</w:t>
      </w:r>
    </w:p>
    <w:p>
      <w:pPr>
        <w:ind w:left="340"/>
        <w:spacing w:after="30"/>
      </w:pPr>
      <w:r>
        <w:rPr>
          <w:color w:val="6B7280"/>
          <w:sz w:val="19"/>
          <w:szCs w:val="19"/>
        </w:rPr>
        <w:t xml:space="preserve">(B)  </w:t>
      </w:r>
      <w:r>
        <w:rPr>
          <w:sz w:val="19"/>
          <w:szCs w:val="19"/>
        </w:rPr>
        <w:t xml:space="preserve">Cash flow per share</w:t>
      </w:r>
    </w:p>
    <w:p>
      <w:pPr>
        <w:ind w:left="340"/>
        <w:spacing w:after="30"/>
      </w:pPr>
      <w:r>
        <w:rPr>
          <w:color w:val="6B7280"/>
          <w:sz w:val="19"/>
          <w:szCs w:val="19"/>
        </w:rPr>
        <w:t xml:space="preserve">(C)  </w:t>
      </w:r>
      <w:r>
        <w:rPr>
          <w:sz w:val="19"/>
          <w:szCs w:val="19"/>
        </w:rPr>
        <w:t xml:space="preserve">Earnings per share from discontinued operations</w:t>
      </w:r>
    </w:p>
    <w:p>
      <w:pPr>
        <w:ind w:left="340"/>
        <w:spacing w:after="30"/>
      </w:pPr>
      <w:r>
        <w:rPr>
          <w:color w:val="6B7280"/>
          <w:sz w:val="19"/>
          <w:szCs w:val="19"/>
        </w:rPr>
        <w:t xml:space="preserve">(D)  </w:t>
      </w:r>
      <w:r>
        <w:rPr>
          <w:sz w:val="19"/>
          <w:szCs w:val="19"/>
        </w:rPr>
        <w:t xml:space="preserve">Diluted earnings per common share</w:t>
      </w:r>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EEEFFC" w:val="clear"/>
            <w:tcMar>
              <w:top w:type="dxa" w:w="110"/>
              <w:left w:type="dxa" w:w="170"/>
              <w:bottom w:type="dxa" w:w="110"/>
              <w:right w:type="dxa" w:w="170"/>
            </w:tcMar>
          </w:tcPr>
          <w:p>
            <w:r>
              <w:rPr>
                <w:b/>
                <w:bCs/>
                <w:color w:val="353A7C"/>
                <w:sz w:val="19"/>
                <w:szCs w:val="19"/>
              </w:rPr>
              <w:t xml:space="preserve">ADAPTIVE TIP   </w:t>
            </w:r>
            <w:r>
              <w:rPr>
                <w:sz w:val="20"/>
                <w:szCs w:val="20"/>
              </w:rPr>
              <w:t xml:space="preserve">Build the denominator before you touch the numerator, and lay the year out as a timeline with a weight against each movement. Almost every error on this topic is in the denominator, and almost every denominator error is a weight of 1 where it should have been a fraction.</w:t>
            </w:r>
          </w:p>
        </w:tc>
      </w:tr>
    </w:tbl>
    <w:p/>
    <w:p>
      <w:pPr>
        <w:sectPr>
          <w:headerReference w:type="default" r:id="rIdHdr2"/>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2 · Dilution: Options, Warrants and the Treasury Stock Method</w:t>
      </w:r>
    </w:p>
    <w:p>
      <w:pPr>
        <w:spacing w:after="8"/>
      </w:pPr>
      <w:r>
        <w:rPr>
          <w:color w:val="23265A"/>
          <w:sz w:val="22"/>
          <w:szCs w:val="22"/>
        </w:rPr>
        <w:t xml:space="preserve">30,000 options at $6, when the shares average $9. Only 10,000 of them dilute anything, and the method shows why.</w:t>
      </w:r>
    </w:p>
    <w:p>
      <w:pPr>
        <w:spacing w:after="130"/>
      </w:pPr>
      <w:r>
        <w:rPr>
          <w:color w:val="6B7280"/>
          <w:sz w:val="20"/>
          <w:szCs w:val="20"/>
        </w:rPr>
        <w:t xml:space="preserve">Volume 15 · Earnings Per Share · R2</w:t>
      </w:r>
    </w:p>
    <w:tbl>
      <w:tblPr>
        <w:tblW w:type="pct" w:w="100%"/>
        <w:tblBorders>
          <w:top w:val="single" w:color="23265A" w:sz="4"/>
          <w:left w:val="single" w:color="23265A" w:sz="4"/>
          <w:bottom w:val="single" w:color="23265A" w:sz="4"/>
          <w:right w:val="single" w:color="23265A" w:sz="4"/>
          <w:insideH w:val="single" w:color="23265A" w:sz="4"/>
          <w:insideV w:val="single" w:color="23265A" w:sz="4"/>
        </w:tblBorders>
      </w:tblPr>
      <w:tblGrid>
        <w:gridCol w:w="34"/>
        <w:gridCol w:w="66"/>
      </w:tblGrid>
      <w:tr>
        <w:tc>
          <w:tcPr>
            <w:gridSpan w:val="2"/>
            <w:shd w:fill="23265A" w:val="clear"/>
          </w:tcPr>
          <w:p>
            <w:r>
              <w:rPr>
                <w:b/>
                <w:bCs/>
                <w:color w:val="FFFFFF"/>
                <w:sz w:val="17"/>
                <w:szCs w:val="17"/>
              </w:rPr>
              <w:t xml:space="preserve">LANGUAGE FOCUS</w:t>
            </w:r>
          </w:p>
        </w:tc>
      </w:tr>
      <w:tr>
        <w:tc>
          <w:tcPr>
            <w:shd w:fill="F5F7FC" w:val="clear"/>
            <w:tcMar>
              <w:top w:type="dxa" w:w="70"/>
              <w:left w:type="dxa" w:w="130"/>
              <w:bottom w:type="dxa" w:w="70"/>
              <w:right w:type="dxa" w:w="130"/>
            </w:tcMar>
          </w:tcPr>
          <w:p>
            <w:r>
              <w:rPr>
                <w:b/>
                <w:bCs/>
                <w:sz w:val="18"/>
                <w:szCs w:val="18"/>
              </w:rPr>
              <w:t xml:space="preserve">Register you are working in</w:t>
            </w:r>
          </w:p>
        </w:tc>
        <w:tc>
          <w:tcPr>
            <w:tcMar>
              <w:top w:type="dxa" w:w="70"/>
              <w:left w:type="dxa" w:w="130"/>
              <w:bottom w:type="dxa" w:w="70"/>
              <w:right w:type="dxa" w:w="130"/>
            </w:tcMar>
          </w:tcPr>
          <w:p>
            <w:r>
              <w:rPr>
                <w:sz w:val="18"/>
                <w:szCs w:val="18"/>
              </w:rPr>
              <w:t xml:space="preserve">R2 for the method, R3 for the classification, which the exam states in its own words.</w:t>
            </w:r>
          </w:p>
        </w:tc>
      </w:tr>
      <w:tr>
        <w:tc>
          <w:tcPr>
            <w:shd w:fill="F5F7FC" w:val="clear"/>
            <w:tcMar>
              <w:top w:type="dxa" w:w="70"/>
              <w:left w:type="dxa" w:w="130"/>
              <w:bottom w:type="dxa" w:w="70"/>
              <w:right w:type="dxa" w:w="130"/>
            </w:tcMar>
          </w:tcPr>
          <w:p>
            <w:r>
              <w:rPr>
                <w:b/>
                <w:bCs/>
                <w:sz w:val="18"/>
                <w:szCs w:val="18"/>
              </w:rPr>
              <w:t xml:space="preserve">Say it exactly like this</w:t>
            </w:r>
          </w:p>
        </w:tc>
        <w:tc>
          <w:tcPr>
            <w:tcMar>
              <w:top w:type="dxa" w:w="70"/>
              <w:left w:type="dxa" w:w="130"/>
              <w:bottom w:type="dxa" w:w="70"/>
              <w:right w:type="dxa" w:w="130"/>
            </w:tcMar>
          </w:tcPr>
          <w:p>
            <w:r>
              <w:rPr>
                <w:sz w:val="18"/>
                <w:szCs w:val="18"/>
              </w:rPr>
              <w:t xml:space="preserve">exercise an option at the strike price · apply the treasury stock method · assume the proceeds repurchase shares · add incremental shares to the denominator · exclude an antidilutive security · report a complex capital structure</w:t>
            </w:r>
          </w:p>
        </w:tc>
      </w:tr>
      <w:tr>
        <w:tc>
          <w:tcPr>
            <w:shd w:fill="F5F7FC" w:val="clear"/>
            <w:tcMar>
              <w:top w:type="dxa" w:w="70"/>
              <w:left w:type="dxa" w:w="130"/>
              <w:bottom w:type="dxa" w:w="70"/>
              <w:right w:type="dxa" w:w="130"/>
            </w:tcMar>
          </w:tcPr>
          <w:p>
            <w:r>
              <w:rPr>
                <w:b/>
                <w:bCs/>
                <w:sz w:val="18"/>
                <w:szCs w:val="18"/>
              </w:rPr>
              <w:t xml:space="preserve">Words that are not the same</w:t>
            </w:r>
          </w:p>
        </w:tc>
        <w:tc>
          <w:tcPr>
            <w:tcMar>
              <w:top w:type="dxa" w:w="70"/>
              <w:left w:type="dxa" w:w="130"/>
              <w:bottom w:type="dxa" w:w="70"/>
              <w:right w:type="dxa" w:w="130"/>
            </w:tcMar>
          </w:tcPr>
          <w:p>
            <w:r>
              <w:rPr>
                <w:sz w:val="18"/>
                <w:szCs w:val="18"/>
              </w:rPr>
              <w:t xml:space="preserve">basic / diluted · in the money / out of the money · strike price / average market price · shares issued / shares repurchased</w:t>
            </w:r>
          </w:p>
        </w:tc>
      </w:tr>
      <w:tr>
        <w:tc>
          <w:tcPr>
            <w:shd w:fill="F5F7FC" w:val="clear"/>
            <w:tcMar>
              <w:top w:type="dxa" w:w="70"/>
              <w:left w:type="dxa" w:w="130"/>
              <w:bottom w:type="dxa" w:w="70"/>
              <w:right w:type="dxa" w:w="130"/>
            </w:tcMar>
          </w:tcPr>
          <w:p>
            <w:r>
              <w:rPr>
                <w:b/>
                <w:bCs/>
                <w:sz w:val="18"/>
                <w:szCs w:val="18"/>
              </w:rPr>
              <w:t xml:space="preserve">Remember</w:t>
            </w:r>
          </w:p>
        </w:tc>
        <w:tc>
          <w:tcPr>
            <w:tcMar>
              <w:top w:type="dxa" w:w="70"/>
              <w:left w:type="dxa" w:w="130"/>
              <w:bottom w:type="dxa" w:w="70"/>
              <w:right w:type="dxa" w:w="130"/>
            </w:tcMar>
          </w:tcPr>
          <w:p>
            <w:r>
              <w:rPr>
                <w:sz w:val="18"/>
                <w:szCs w:val="18"/>
              </w:rPr>
              <w:t xml:space="preserve">The treasury stock method does not add all the option shares. It adds only the shares the exercise proceeds could not buy back.  Options out of the money are not ignored because they are small. They are ignored because exercising them would raise the figure, not lower it.</w:t>
            </w:r>
          </w:p>
        </w:tc>
      </w:tr>
    </w:tbl>
    <w:p/>
    <w:p>
      <w:pPr>
        <w:spacing w:after="40" w:before="130"/>
      </w:pPr>
      <w:r>
        <w:rPr>
          <w:b/>
          <w:bCs/>
          <w:color w:val="23265A"/>
          <w:sz w:val="24"/>
          <w:szCs w:val="24"/>
        </w:rPr>
        <w:t xml:space="preserve">What you will be able to do when this handout is finished</w:t>
      </w:r>
    </w:p>
    <w:p>
      <w:pPr>
        <w:pStyle w:val="ListParagraph"/>
        <w:numPr>
          <w:ilvl w:val="0"/>
          <w:numId w:val="1"/>
        </w:numPr>
        <w:spacing w:after="24"/>
      </w:pPr>
      <w:r>
        <w:rPr>
          <w:sz w:val="20"/>
          <w:szCs w:val="20"/>
        </w:rPr>
        <w:t xml:space="preserve">Say what diluted earnings per share is for.</w:t>
      </w:r>
    </w:p>
    <w:p>
      <w:pPr>
        <w:pStyle w:val="ListParagraph"/>
        <w:numPr>
          <w:ilvl w:val="0"/>
          <w:numId w:val="1"/>
        </w:numPr>
        <w:spacing w:after="24"/>
      </w:pPr>
      <w:r>
        <w:rPr>
          <w:sz w:val="20"/>
          <w:szCs w:val="20"/>
        </w:rPr>
        <w:t xml:space="preserve">Say when an option is dilutive.</w:t>
      </w:r>
    </w:p>
    <w:p>
      <w:pPr>
        <w:pStyle w:val="ListParagraph"/>
        <w:numPr>
          <w:ilvl w:val="0"/>
          <w:numId w:val="1"/>
        </w:numPr>
        <w:spacing w:after="24"/>
      </w:pPr>
      <w:r>
        <w:rPr>
          <w:sz w:val="20"/>
          <w:szCs w:val="20"/>
        </w:rPr>
        <w:t xml:space="preserve">Apply the treasury stock method.</w:t>
      </w:r>
    </w:p>
    <w:p>
      <w:pPr>
        <w:pStyle w:val="ListParagraph"/>
        <w:numPr>
          <w:ilvl w:val="0"/>
          <w:numId w:val="1"/>
        </w:numPr>
        <w:spacing w:after="24"/>
      </w:pPr>
      <w:r>
        <w:rPr>
          <w:sz w:val="20"/>
          <w:szCs w:val="20"/>
        </w:rPr>
        <w:t xml:space="preserve">Compute diluted earnings per share with options outstanding.</w:t>
      </w:r>
    </w:p>
    <w:p>
      <w:pPr>
        <w:pStyle w:val="ListParagraph"/>
        <w:numPr>
          <w:ilvl w:val="0"/>
          <w:numId w:val="1"/>
        </w:numPr>
        <w:spacing w:after="24"/>
      </w:pPr>
      <w:r>
        <w:rPr>
          <w:sz w:val="20"/>
          <w:szCs w:val="20"/>
        </w:rPr>
        <w:t xml:space="preserve">Say which market price the method uses, and why.</w:t>
      </w:r>
    </w:p>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5F7FC" w:val="clear"/>
            <w:tcMar>
              <w:top w:type="dxa" w:w="140"/>
              <w:left w:type="dxa" w:w="200"/>
              <w:bottom w:type="dxa" w:w="140"/>
              <w:right w:type="dxa" w:w="200"/>
            </w:tcMar>
          </w:tcPr>
          <w:p>
            <w:pPr>
              <w:spacing w:after="60"/>
            </w:pPr>
            <w:r>
              <w:rPr>
                <w:b/>
                <w:bCs/>
                <w:color w:val="353A7C"/>
                <w:sz w:val="21"/>
                <w:szCs w:val="21"/>
              </w:rPr>
              <w:t xml:space="preserve">Shares that do not exist yet</w:t>
            </w:r>
          </w:p>
          <w:p>
            <w:pPr>
              <w:spacing w:after="80" w:line="290" w:lineRule="auto"/>
            </w:pPr>
            <w:r>
              <w:rPr>
                <w:sz w:val="21"/>
                <w:szCs w:val="21"/>
              </w:rPr>
              <w:t xml:space="preserve">Northwind has granted 30,000 share options exercisable at $6. None has been exercised, so none of those shares is in Handout 1’s count of 291,750.</w:t>
            </w:r>
          </w:p>
          <w:p>
            <w:pPr>
              <w:spacing w:after="80" w:line="290" w:lineRule="auto"/>
            </w:pPr>
            <w:r>
              <w:rPr>
                <w:sz w:val="21"/>
                <w:szCs w:val="21"/>
              </w:rPr>
              <w:t xml:space="preserve">But they could be. The shares averaged $9 during the year, so every holder could have paid $6 for a share worth $9.</w:t>
            </w:r>
          </w:p>
          <w:p>
            <w:pPr>
              <w:spacing w:after="80" w:line="290" w:lineRule="auto"/>
            </w:pPr>
            <w:r>
              <w:rPr>
                <w:sz w:val="21"/>
                <w:szCs w:val="21"/>
              </w:rPr>
              <w:t xml:space="preserve">If they all had, there would be more shares sharing the same $510,000 of profit, and earnings per share would be lower.</w:t>
            </w:r>
          </w:p>
          <w:p>
            <w:pPr>
              <w:spacing w:after="80" w:line="290" w:lineRule="auto"/>
            </w:pPr>
            <w:r>
              <w:rPr>
                <w:sz w:val="21"/>
                <w:szCs w:val="21"/>
              </w:rPr>
              <w:t xml:space="preserve">Diluted earnings per share reports that worst case. This handout computes it for options; Handout 3 does convertibles.</w:t>
            </w:r>
          </w:p>
        </w:tc>
      </w:tr>
    </w:tbl>
    <w:p/>
    <w:p>
      <w:pPr>
        <w:spacing w:after="40" w:before="90"/>
        <w:jc w:val="center"/>
      </w:pPr>
      <w:r>
        <w:drawing>
          <wp:inline distT="0" distB="0" distL="0" distR="0">
            <wp:extent cx="5734050" cy="182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5734050" cy="1822150"/>
                    </a:xfrm>
                    <a:prstGeom prst="rect">
                      <a:avLst/>
                    </a:prstGeom>
                  </pic:spPr>
                </pic:pic>
              </a:graphicData>
            </a:graphic>
          </wp:inline>
        </w:drawing>
      </w:r>
    </w:p>
    <w:p>
      <w:pPr>
        <w:shd w:fill="353A7C" w:val="clear"/>
        <w:spacing w:after="80" w:before="230"/>
      </w:pPr>
      <w:r>
        <w:rPr>
          <w:b/>
          <w:bCs/>
          <w:color w:val="FFFFFF"/>
          <w:sz w:val="26"/>
          <w:szCs w:val="26"/>
        </w:rPr>
        <w:t xml:space="preserve">  Part 1 · Why a second figure exists</w:t>
      </w:r>
      <w:r>
        <w:rPr>
          <w:b/>
          <w:bCs/>
          <w:color w:val="FFFFFF"/>
          <w:sz w:val="16"/>
          <w:szCs w:val="16"/>
        </w:rPr>
        <w:t xml:space="preserve">    the shares that could be</w:t>
      </w:r>
    </w:p>
    <w:p>
      <w:pPr>
        <w:spacing w:before="230" w:after="80"/>
        <w:pBdr>
          <w:top w:val="single" w:sz="12" w:space="7" w:color="353A7C"/>
        </w:pBdr>
      </w:pPr>
      <w:r>
        <w:rPr>
          <w:b/>
          <w:bCs/>
          <w:color w:val="353A7C"/>
          <w:sz w:val="22"/>
          <w:szCs w:val="22"/>
        </w:rPr>
        <w:t xml:space="preserve">Exercise 2A   </w:t>
      </w:r>
      <w:r>
        <w:rPr>
          <w:b/>
          <w:bCs/>
          <w:sz w:val="21"/>
          <w:szCs w:val="21"/>
        </w:rPr>
        <w:t xml:space="preserve">Read and complete. Write one word in each space.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Say what diluted earnings per share measures and when it is required.</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Handout 1 Exercise 1B, for the 291,750 weighted average.</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A shareholder reading $1.75 wants to know whether that figure is safe from being spread further.</w:t>
            </w:r>
          </w:p>
          <w:p>
            <w:pPr>
              <w:spacing w:after="30"/>
            </w:pPr>
            <w:r>
              <w:rPr>
                <w:color w:val="353A7C"/>
                <w:sz w:val="18"/>
                <w:szCs w:val="18"/>
              </w:rPr>
              <w:t xml:space="preserve">•  </w:t>
            </w:r>
            <w:r>
              <w:rPr>
                <w:sz w:val="18"/>
                <w:szCs w:val="18"/>
              </w:rPr>
              <w:t xml:space="preserve">Northwind’s 30,000 options are not shares yet, and the holders decide whether they ever become shares.</w:t>
            </w:r>
          </w:p>
          <w:p>
            <w:pPr>
              <w:spacing w:after="30"/>
            </w:pPr>
            <w:r>
              <w:rPr>
                <w:color w:val="353A7C"/>
                <w:sz w:val="18"/>
                <w:szCs w:val="18"/>
              </w:rPr>
              <w:t xml:space="preserve">•  </w:t>
            </w:r>
            <w:r>
              <w:rPr>
                <w:sz w:val="18"/>
                <w:szCs w:val="18"/>
              </w:rPr>
              <w:t xml:space="preserve">The last blank is what a company with no such securities at all is said to have.</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basic</w:t>
            </w:r>
            <w:r>
              <w:rPr>
                <w:b/>
                <w:bCs/>
                <w:color w:val="8186EF"/>
                <w:sz w:val="20"/>
                <w:szCs w:val="20"/>
              </w:rPr>
              <w:t xml:space="preserve">   ·   </w:t>
            </w:r>
            <w:r>
              <w:rPr>
                <w:b/>
                <w:bCs/>
                <w:sz w:val="20"/>
                <w:szCs w:val="20"/>
              </w:rPr>
              <w:t xml:space="preserve">best</w:t>
            </w:r>
            <w:r>
              <w:rPr>
                <w:b/>
                <w:bCs/>
                <w:color w:val="8186EF"/>
                <w:sz w:val="20"/>
                <w:szCs w:val="20"/>
              </w:rPr>
              <w:t xml:space="preserve">   ·   </w:t>
            </w:r>
            <w:r>
              <w:rPr>
                <w:b/>
                <w:bCs/>
                <w:sz w:val="20"/>
                <w:szCs w:val="20"/>
              </w:rPr>
              <w:t xml:space="preserve">both</w:t>
            </w:r>
            <w:r>
              <w:rPr>
                <w:b/>
                <w:bCs/>
                <w:color w:val="8186EF"/>
                <w:sz w:val="20"/>
                <w:szCs w:val="20"/>
              </w:rPr>
              <w:t xml:space="preserve">   ·   </w:t>
            </w:r>
            <w:r>
              <w:rPr>
                <w:b/>
                <w:bCs/>
                <w:sz w:val="20"/>
                <w:szCs w:val="20"/>
              </w:rPr>
              <w:t xml:space="preserve">could</w:t>
            </w:r>
            <w:r>
              <w:rPr>
                <w:b/>
                <w:bCs/>
                <w:color w:val="8186EF"/>
                <w:sz w:val="20"/>
                <w:szCs w:val="20"/>
              </w:rPr>
              <w:t xml:space="preserve">   ·   </w:t>
            </w:r>
            <w:r>
              <w:rPr>
                <w:b/>
                <w:bCs/>
                <w:sz w:val="20"/>
                <w:szCs w:val="20"/>
              </w:rPr>
              <w:t xml:space="preserve">did</w:t>
            </w:r>
            <w:r>
              <w:rPr>
                <w:b/>
                <w:bCs/>
                <w:color w:val="8186EF"/>
                <w:sz w:val="20"/>
                <w:szCs w:val="20"/>
              </w:rPr>
              <w:t xml:space="preserve">   ·   </w:t>
            </w:r>
            <w:r>
              <w:rPr>
                <w:b/>
                <w:bCs/>
                <w:sz w:val="20"/>
                <w:szCs w:val="20"/>
              </w:rPr>
              <w:t xml:space="preserve">raise</w:t>
            </w:r>
            <w:r>
              <w:rPr>
                <w:b/>
                <w:bCs/>
                <w:color w:val="8186EF"/>
                <w:sz w:val="20"/>
                <w:szCs w:val="20"/>
              </w:rPr>
              <w:t xml:space="preserve">   ·   </w:t>
            </w:r>
            <w:r>
              <w:rPr>
                <w:b/>
                <w:bCs/>
                <w:sz w:val="20"/>
                <w:szCs w:val="20"/>
              </w:rPr>
              <w:t xml:space="preserve">worst</w:t>
            </w:r>
          </w:p>
          <w:p>
            <w:r>
              <w:rPr>
                <w:color w:val="6B7280"/>
                <w:sz w:val="17"/>
                <w:szCs w:val="17"/>
              </w:rPr>
              <w:t xml:space="preserve">Not every word is used.</w:t>
            </w:r>
          </w:p>
        </w:tc>
      </w:tr>
    </w:tbl>
    <w:p/>
    <w:p>
      <w:pPr>
        <w:spacing w:before="40" w:after="110" w:line="300" w:lineRule="auto"/>
      </w:pPr>
      <w:r>
        <w:rPr>
          <w:b/>
          <w:color w:val="2B6CB0"/>
          <w:sz w:val="13"/>
        </w:rPr>
        <w:t xml:space="preserve">R2  </w:t>
      </w:r>
      <w:r>
        <w:rPr>
          <w:sz w:val="21"/>
          <w:szCs w:val="21"/>
        </w:rPr>
        <w:t xml:space="preserve">Basic earnings per share counts the shares that exist. A reader also wants to know what the figure would be if every security that could become a share actually </w:t>
      </w:r>
      <w:r>
        <w:rPr>
          <w:vertAlign w:val="superscript"/>
          <w:color w:val="353A7C"/>
          <w:b/>
          <w:sz w:val="16"/>
        </w:rPr>
        <w:t>1</w:t>
      </w:r>
      <w:r>
        <w:rPr>
          <w:u w:val="single"/>
          <w:sz w:val="21"/>
          <w:szCs w:val="21"/>
        </w:rPr>
        <w:t xml:space="preserve">         </w:t>
      </w:r>
      <w:r>
        <w:rPr>
          <w:sz w:val="21"/>
          <w:szCs w:val="21"/>
        </w:rPr>
        <w:t xml:space="preserve">.</w:t>
      </w:r>
    </w:p>
    <w:p>
      <w:pPr>
        <w:spacing w:before="40" w:after="110" w:line="300" w:lineRule="auto"/>
      </w:pPr>
      <w:r>
        <w:rPr>
          <w:sz w:val="21"/>
          <w:szCs w:val="21"/>
        </w:rPr>
        <w:t xml:space="preserve">Each such security is a potential common share, and the second figure assumes they are all exercised or converted at the start of the period. It is a </w:t>
      </w:r>
      <w:r>
        <w:rPr>
          <w:vertAlign w:val="superscript"/>
          <w:color w:val="353A7C"/>
          <w:b/>
          <w:sz w:val="16"/>
        </w:rPr>
        <w:t>2</w:t>
      </w:r>
      <w:r>
        <w:rPr>
          <w:u w:val="single"/>
          <w:sz w:val="21"/>
          <w:szCs w:val="21"/>
        </w:rPr>
        <w:t xml:space="preserve">          </w:t>
      </w:r>
      <w:r>
        <w:rPr>
          <w:sz w:val="21"/>
          <w:szCs w:val="21"/>
        </w:rPr>
        <w:t xml:space="preserve"> case rather than a forecast.</w:t>
      </w:r>
    </w:p>
    <w:p>
      <w:pPr>
        <w:spacing w:before="40" w:after="110" w:line="300" w:lineRule="auto"/>
      </w:pPr>
      <w:r>
        <w:rPr>
          <w:sz w:val="21"/>
          <w:szCs w:val="21"/>
        </w:rPr>
        <w:t xml:space="preserve">A company holding any of them has a complex capital structure and must report </w:t>
      </w:r>
      <w:r>
        <w:rPr>
          <w:vertAlign w:val="superscript"/>
          <w:color w:val="353A7C"/>
          <w:b/>
          <w:sz w:val="16"/>
        </w:rPr>
        <w:t>3</w:t>
      </w:r>
      <w:r>
        <w:rPr>
          <w:u w:val="single"/>
          <w:sz w:val="21"/>
          <w:szCs w:val="21"/>
        </w:rPr>
        <w:t xml:space="preserve">         </w:t>
      </w:r>
      <w:r>
        <w:rPr>
          <w:sz w:val="21"/>
          <w:szCs w:val="21"/>
        </w:rPr>
        <w:t xml:space="preserve"> figures. One with none of them has a simple structure and reports basic earnings per share alone.</w:t>
      </w:r>
    </w:p>
    <w:p>
      <w:pPr>
        <w:spacing w:before="40" w:after="110" w:line="300" w:lineRule="auto"/>
      </w:pPr>
      <w:r>
        <w:rPr>
          <w:sz w:val="21"/>
          <w:szCs w:val="21"/>
        </w:rPr>
        <w:t xml:space="preserve">The diluted figure can never be above the basic one. If adding a security would </w:t>
      </w:r>
      <w:r>
        <w:rPr>
          <w:vertAlign w:val="superscript"/>
          <w:color w:val="353A7C"/>
          <w:b/>
          <w:sz w:val="16"/>
        </w:rPr>
        <w:t>4</w:t>
      </w:r>
      <w:r>
        <w:rPr>
          <w:u w:val="single"/>
          <w:sz w:val="21"/>
          <w:szCs w:val="21"/>
        </w:rPr>
        <w:t xml:space="preserve">          </w:t>
      </w:r>
      <w:r>
        <w:rPr>
          <w:sz w:val="21"/>
          <w:szCs w:val="21"/>
        </w:rPr>
        <w:t xml:space="preserve"> earnings per share, it is left out, and Handout 3 explains that rule.</w:t>
      </w:r>
    </w:p>
    <w:p>
      <w:pPr>
        <w:spacing w:after="40" w:before="90"/>
        <w:jc w:val="center"/>
      </w:pPr>
      <w:r>
        <w:drawing>
          <wp:inline distT="0" distB="0" distL="0" distR="0">
            <wp:extent cx="5734050" cy="201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5734050" cy="2013300"/>
                    </a:xfrm>
                    <a:prstGeom prst="rect">
                      <a:avLst/>
                    </a:prstGeom>
                  </pic:spPr>
                </pic:pic>
              </a:graphicData>
            </a:graphic>
          </wp:inline>
        </w:drawing>
      </w:r>
    </w:p>
    <w:p>
      <w:pPr>
        <w:shd w:fill="353A7C" w:val="clear"/>
        <w:spacing w:after="80" w:before="230"/>
      </w:pPr>
      <w:r>
        <w:rPr>
          <w:b/>
          <w:bCs/>
          <w:color w:val="FFFFFF"/>
          <w:sz w:val="26"/>
          <w:szCs w:val="26"/>
        </w:rPr>
        <w:t xml:space="preserve">  Part 2 · When an option dilutes</w:t>
      </w:r>
      <w:r>
        <w:rPr>
          <w:b/>
          <w:bCs/>
          <w:color w:val="FFFFFF"/>
          <w:sz w:val="16"/>
          <w:szCs w:val="16"/>
        </w:rPr>
        <w:t xml:space="preserve">    and when it does nothing</w:t>
      </w:r>
    </w:p>
    <w:p>
      <w:pPr>
        <w:spacing w:before="230" w:after="80"/>
        <w:pBdr>
          <w:top w:val="single" w:sz="12" w:space="7" w:color="353A7C"/>
        </w:pBdr>
      </w:pPr>
      <w:r>
        <w:rPr>
          <w:b/>
          <w:bCs/>
          <w:color w:val="353A7C"/>
          <w:sz w:val="22"/>
          <w:szCs w:val="22"/>
        </w:rPr>
        <w:t xml:space="preserve">Exercise 2B   </w:t>
      </w:r>
      <w:r>
        <w:rPr>
          <w:b/>
          <w:bCs/>
          <w:sz w:val="21"/>
          <w:szCs w:val="21"/>
        </w:rPr>
        <w:t xml:space="preserve">Read and complete. Write one word or figure in each space.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Say when an option is dilutive and which price the test uses.</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2A.</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Northwind’s options are exercisable at $6 and the shares averaged $9.</w:t>
            </w:r>
          </w:p>
          <w:p>
            <w:pPr>
              <w:spacing w:after="30"/>
            </w:pPr>
            <w:r>
              <w:rPr>
                <w:color w:val="353A7C"/>
                <w:sz w:val="18"/>
                <w:szCs w:val="18"/>
              </w:rPr>
              <w:t xml:space="preserve">•  </w:t>
            </w:r>
            <w:r>
              <w:rPr>
                <w:sz w:val="18"/>
                <w:szCs w:val="18"/>
              </w:rPr>
              <w:t xml:space="preserve">Ask whether a holder would pay $6 for something worth less than that.</w:t>
            </w:r>
          </w:p>
          <w:p>
            <w:pPr>
              <w:spacing w:after="30"/>
            </w:pPr>
            <w:r>
              <w:rPr>
                <w:color w:val="353A7C"/>
                <w:sz w:val="18"/>
                <w:szCs w:val="18"/>
              </w:rPr>
              <w:t xml:space="preserve">•  </w:t>
            </w:r>
            <w:r>
              <w:rPr>
                <w:sz w:val="18"/>
                <w:szCs w:val="18"/>
              </w:rPr>
              <w:t xml:space="preserve">The last blank is the price the method uses, and it is not the year-end price.</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average</w:t>
            </w:r>
            <w:r>
              <w:rPr>
                <w:b/>
                <w:bCs/>
                <w:color w:val="8186EF"/>
                <w:sz w:val="20"/>
                <w:szCs w:val="20"/>
              </w:rPr>
              <w:t xml:space="preserve">   ·   </w:t>
            </w:r>
            <w:r>
              <w:rPr>
                <w:b/>
                <w:bCs/>
                <w:sz w:val="20"/>
                <w:szCs w:val="20"/>
              </w:rPr>
              <w:t xml:space="preserve">closing</w:t>
            </w:r>
            <w:r>
              <w:rPr>
                <w:b/>
                <w:bCs/>
                <w:color w:val="8186EF"/>
                <w:sz w:val="20"/>
                <w:szCs w:val="20"/>
              </w:rPr>
              <w:t xml:space="preserve">   ·   </w:t>
            </w:r>
            <w:r>
              <w:rPr>
                <w:b/>
                <w:bCs/>
                <w:sz w:val="20"/>
                <w:szCs w:val="20"/>
              </w:rPr>
              <w:t xml:space="preserve">excluded</w:t>
            </w:r>
            <w:r>
              <w:rPr>
                <w:b/>
                <w:bCs/>
                <w:color w:val="8186EF"/>
                <w:sz w:val="20"/>
                <w:szCs w:val="20"/>
              </w:rPr>
              <w:t xml:space="preserve">   ·   </w:t>
            </w:r>
            <w:r>
              <w:rPr>
                <w:b/>
                <w:bCs/>
                <w:sz w:val="20"/>
                <w:szCs w:val="20"/>
              </w:rPr>
              <w:t xml:space="preserve">in</w:t>
            </w:r>
            <w:r>
              <w:rPr>
                <w:b/>
                <w:bCs/>
                <w:color w:val="8186EF"/>
                <w:sz w:val="20"/>
                <w:szCs w:val="20"/>
              </w:rPr>
              <w:t xml:space="preserve">   ·   </w:t>
            </w:r>
            <w:r>
              <w:rPr>
                <w:b/>
                <w:bCs/>
                <w:sz w:val="20"/>
                <w:szCs w:val="20"/>
              </w:rPr>
              <w:t xml:space="preserve">included</w:t>
            </w:r>
            <w:r>
              <w:rPr>
                <w:b/>
                <w:bCs/>
                <w:color w:val="8186EF"/>
                <w:sz w:val="20"/>
                <w:szCs w:val="20"/>
              </w:rPr>
              <w:t xml:space="preserve">   ·   </w:t>
            </w:r>
            <w:r>
              <w:rPr>
                <w:b/>
                <w:bCs/>
                <w:sz w:val="20"/>
                <w:szCs w:val="20"/>
              </w:rPr>
              <w:t xml:space="preserve">out</w:t>
            </w:r>
            <w:r>
              <w:rPr>
                <w:b/>
                <w:bCs/>
                <w:color w:val="8186EF"/>
                <w:sz w:val="20"/>
                <w:szCs w:val="20"/>
              </w:rPr>
              <w:t xml:space="preserve">   ·   </w:t>
            </w:r>
            <w:r>
              <w:rPr>
                <w:b/>
                <w:bCs/>
                <w:sz w:val="20"/>
                <w:szCs w:val="20"/>
              </w:rPr>
              <w:t xml:space="preserve">price</w:t>
            </w:r>
          </w:p>
          <w:p>
            <w:r>
              <w:rPr>
                <w:color w:val="6B7280"/>
                <w:sz w:val="17"/>
                <w:szCs w:val="17"/>
              </w:rPr>
              <w:t xml:space="preserve">Not every word is used.</w:t>
            </w:r>
          </w:p>
        </w:tc>
      </w:tr>
    </w:tbl>
    <w:p/>
    <w:p>
      <w:pPr>
        <w:spacing w:before="40" w:after="110" w:line="300" w:lineRule="auto"/>
      </w:pPr>
      <w:r>
        <w:rPr>
          <w:b/>
          <w:color w:val="2B6CB0"/>
          <w:sz w:val="13"/>
        </w:rPr>
        <w:t xml:space="preserve">R2  </w:t>
      </w:r>
      <w:r>
        <w:rPr>
          <w:sz w:val="21"/>
          <w:szCs w:val="21"/>
        </w:rPr>
        <w:t xml:space="preserve">An option is worth exercising only when the share is worth more than the exercise price. Northwind’s options cost $6 and the shares averaged $9, so they are </w:t>
      </w:r>
      <w:r>
        <w:rPr>
          <w:vertAlign w:val="superscript"/>
          <w:color w:val="353A7C"/>
          <w:b/>
          <w:sz w:val="16"/>
        </w:rPr>
        <w:t>5</w:t>
      </w:r>
      <w:r>
        <w:rPr>
          <w:u w:val="single"/>
          <w:sz w:val="21"/>
          <w:szCs w:val="21"/>
        </w:rPr>
        <w:t xml:space="preserve">         </w:t>
      </w:r>
      <w:r>
        <w:rPr>
          <w:sz w:val="21"/>
          <w:szCs w:val="21"/>
        </w:rPr>
        <w:t xml:space="preserve"> the money.</w:t>
      </w:r>
    </w:p>
    <w:p>
      <w:pPr>
        <w:spacing w:before="40" w:after="110" w:line="300" w:lineRule="auto"/>
      </w:pPr>
      <w:r>
        <w:rPr>
          <w:sz w:val="21"/>
          <w:szCs w:val="21"/>
        </w:rPr>
        <w:t xml:space="preserve">An option exercisable at $12 when the shares average $9 would never be exercised. It is out of the money, exercising it would raise the figure rather than lower it, and it is </w:t>
      </w:r>
      <w:r>
        <w:rPr>
          <w:vertAlign w:val="superscript"/>
          <w:color w:val="353A7C"/>
          <w:b/>
          <w:sz w:val="16"/>
        </w:rPr>
        <w:t>6</w:t>
      </w:r>
      <w:r>
        <w:rPr>
          <w:u w:val="single"/>
          <w:sz w:val="21"/>
          <w:szCs w:val="21"/>
        </w:rPr>
        <w:t xml:space="preserve">               </w:t>
      </w:r>
      <w:r>
        <w:rPr>
          <w:sz w:val="21"/>
          <w:szCs w:val="21"/>
        </w:rPr>
        <w:t xml:space="preserve"> from the computation altogether.</w:t>
      </w:r>
    </w:p>
    <w:p>
      <w:pPr>
        <w:spacing w:before="40" w:after="110" w:line="300" w:lineRule="auto"/>
      </w:pPr>
      <w:r>
        <w:rPr>
          <w:sz w:val="21"/>
          <w:szCs w:val="21"/>
        </w:rPr>
        <w:t xml:space="preserve">The comparison uses the </w:t>
      </w:r>
      <w:r>
        <w:rPr>
          <w:vertAlign w:val="superscript"/>
          <w:color w:val="353A7C"/>
          <w:b/>
          <w:sz w:val="16"/>
        </w:rPr>
        <w:t>7</w:t>
      </w:r>
      <w:r>
        <w:rPr>
          <w:u w:val="single"/>
          <w:sz w:val="21"/>
          <w:szCs w:val="21"/>
        </w:rPr>
        <w:t xml:space="preserve">             </w:t>
      </w:r>
      <w:r>
        <w:rPr>
          <w:sz w:val="21"/>
          <w:szCs w:val="21"/>
        </w:rPr>
        <w:t xml:space="preserve"> market price for the period rather than the price at the year end, because the earnings being divided were earned across the whole period.</w:t>
      </w:r>
    </w:p>
    <w:p>
      <w:pPr>
        <w:spacing w:before="40" w:after="110" w:line="300" w:lineRule="auto"/>
      </w:pPr>
      <w:r>
        <w:rPr>
          <w:sz w:val="21"/>
          <w:szCs w:val="21"/>
        </w:rPr>
        <w:t xml:space="preserve">That choice matters. A share that averaged $9 and closed at $5 would give one answer on the average and quite another on the closing </w:t>
      </w:r>
      <w:r>
        <w:rPr>
          <w:vertAlign w:val="superscript"/>
          <w:color w:val="353A7C"/>
          <w:b/>
          <w:sz w:val="16"/>
        </w:rPr>
        <w:t>8</w:t>
      </w:r>
      <w:r>
        <w:rPr>
          <w:u w:val="single"/>
          <w:sz w:val="21"/>
          <w:szCs w:val="21"/>
        </w:rPr>
        <w:t xml:space="preserve">          </w:t>
      </w:r>
      <w:r>
        <w:rPr>
          <w:sz w:val="21"/>
          <w:szCs w:val="21"/>
        </w:rPr>
        <w:t xml:space="preserve">.</w:t>
      </w:r>
    </w:p>
    <w:p>
      <w:pPr>
        <w:spacing w:after="40" w:before="90"/>
        <w:jc w:val="center"/>
      </w:pPr>
      <w:r>
        <w:drawing>
          <wp:inline distT="0" distB="0" distL="0" distR="0">
            <wp:extent cx="5734050" cy="340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5734050" cy="3402200"/>
                    </a:xfrm>
                    <a:prstGeom prst="rect">
                      <a:avLst/>
                    </a:prstGeom>
                  </pic:spPr>
                </pic:pic>
              </a:graphicData>
            </a:graphic>
          </wp:inline>
        </w:drawing>
      </w:r>
    </w:p>
    <w:p>
      <w:pPr>
        <w:shd w:fill="353A7C" w:val="clear"/>
        <w:spacing w:after="80" w:before="230"/>
      </w:pPr>
      <w:r>
        <w:rPr>
          <w:b/>
          <w:bCs/>
          <w:color w:val="FFFFFF"/>
          <w:sz w:val="26"/>
          <w:szCs w:val="26"/>
        </w:rPr>
        <w:t xml:space="preserve">  Part 3 · The treasury stock method</w:t>
      </w:r>
      <w:r>
        <w:rPr>
          <w:b/>
          <w:bCs/>
          <w:color w:val="FFFFFF"/>
          <w:sz w:val="16"/>
          <w:szCs w:val="16"/>
        </w:rPr>
        <w:t xml:space="preserve">    assume exercise, then assume a buy-back</w:t>
      </w:r>
    </w:p>
    <w:p>
      <w:pPr>
        <w:spacing w:before="40" w:after="110" w:line="300" w:lineRule="auto"/>
      </w:pPr>
      <w:r>
        <w:rPr>
          <w:b/>
          <w:color w:val="2B6CB0"/>
          <w:sz w:val="13"/>
        </w:rPr>
        <w:t xml:space="preserve">R2  </w:t>
      </w:r>
      <w:r>
        <w:rPr>
          <w:sz w:val="21"/>
          <w:szCs w:val="21"/>
        </w:rPr>
        <w:t xml:space="preserve">Exercising an option does two things: it creates a share, and it hands the company cash. The method accounts for both. The new shares are added, and the cash is assumed to repurchase shares at the average market price, so only the difference increases the denominator.</w:t>
      </w:r>
    </w:p>
    <w:p>
      <w:pPr>
        <w:spacing w:before="230" w:after="80"/>
        <w:pBdr>
          <w:top w:val="single" w:sz="12" w:space="7" w:color="353A7C"/>
        </w:pBdr>
      </w:pPr>
      <w:r>
        <w:rPr>
          <w:b/>
          <w:bCs/>
          <w:color w:val="353A7C"/>
          <w:sz w:val="22"/>
          <w:szCs w:val="22"/>
        </w:rPr>
        <w:t xml:space="preserve">Exercise 2C   </w:t>
      </w:r>
      <w:r>
        <w:rPr>
          <w:b/>
          <w:bCs/>
          <w:sz w:val="21"/>
          <w:szCs w:val="21"/>
        </w:rPr>
        <w:t xml:space="preserve">Complete the schedule. The option count is given.</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Apply the treasury stock method to Northwind’s options.</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2B, and the paragraph above.</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The proceeds are 30,000 options at $6 each.</w:t>
            </w:r>
          </w:p>
          <w:p>
            <w:pPr>
              <w:spacing w:after="30"/>
            </w:pPr>
            <w:r>
              <w:rPr>
                <w:color w:val="353A7C"/>
                <w:sz w:val="18"/>
                <w:szCs w:val="18"/>
              </w:rPr>
              <w:t xml:space="preserve">•  </w:t>
            </w:r>
            <w:r>
              <w:rPr>
                <w:sz w:val="18"/>
                <w:szCs w:val="18"/>
              </w:rPr>
              <w:t xml:space="preserve">That cash buys shares at the average price of $9, not at the exercise price.</w:t>
            </w:r>
          </w:p>
          <w:p>
            <w:pPr>
              <w:spacing w:after="30"/>
            </w:pPr>
            <w:r>
              <w:rPr>
                <w:color w:val="353A7C"/>
                <w:sz w:val="18"/>
                <w:szCs w:val="18"/>
              </w:rPr>
              <w:t xml:space="preserve">•  </w:t>
            </w:r>
            <w:r>
              <w:rPr>
                <w:sz w:val="18"/>
                <w:szCs w:val="18"/>
              </w:rPr>
              <w:t xml:space="preserve">The incremental shares are the 30,000 issued less the number repurchased, and the answer should be a round figure.</w:t>
            </w:r>
          </w:p>
        </w:tc>
      </w:tr>
    </w:tbl>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68"/>
        <w:gridCol w:w="32"/>
      </w:tblGrid>
      <w:tr>
        <w:tc>
          <w:tcPr>
            <w:shd w:fill="A05A2B" w:val="clear"/>
            <w:tcMar>
              <w:top w:type="dxa" w:w="60"/>
              <w:left w:type="dxa" w:w="120"/>
              <w:bottom w:type="dxa" w:w="60"/>
              <w:right w:type="dxa" w:w="120"/>
            </w:tcMar>
          </w:tcPr>
          <w:p>
            <w:r>
              <w:rPr>
                <w:b/>
                <w:bCs/>
                <w:color w:val="FFFFFF"/>
                <w:sz w:val="19"/>
                <w:szCs w:val="19"/>
              </w:rPr>
              <w:t xml:space="preserve">The treasury stock method</w:t>
            </w:r>
          </w:p>
        </w:tc>
        <w:tc>
          <w:tcPr>
            <w:shd w:fill="A05A2B" w:val="clear"/>
            <w:tcMar>
              <w:top w:type="dxa" w:w="60"/>
              <w:left w:type="dxa" w:w="120"/>
              <w:bottom w:type="dxa" w:w="60"/>
              <w:right w:type="dxa" w:w="120"/>
            </w:tcMar>
          </w:tcPr>
          <w:p>
            <w:r>
              <w:rPr>
                <w:b/>
                <w:bCs/>
                <w:color w:val="FFFFFF"/>
                <w:sz w:val="19"/>
                <w:szCs w:val="19"/>
              </w:rPr>
              <w:t xml:space="preserve">Shares</w:t>
            </w:r>
          </w:p>
        </w:tc>
      </w:tr>
      <w:tr>
        <w:tc>
          <w:tcPr>
            <w:tcMar>
              <w:top w:type="dxa" w:w="60"/>
              <w:left w:type="dxa" w:w="120"/>
              <w:bottom w:type="dxa" w:w="60"/>
              <w:right w:type="dxa" w:w="120"/>
            </w:tcMar>
          </w:tcPr>
          <w:p>
            <w:r>
              <w:rPr>
                <w:sz w:val="19"/>
                <w:szCs w:val="19"/>
              </w:rPr>
              <w:t xml:space="preserve">Options outstanding, exercisable at $6</w:t>
            </w:r>
          </w:p>
        </w:tc>
        <w:tc>
          <w:tcPr>
            <w:tcMar>
              <w:top w:type="dxa" w:w="60"/>
              <w:left w:type="dxa" w:w="120"/>
              <w:bottom w:type="dxa" w:w="60"/>
              <w:right w:type="dxa" w:w="120"/>
            </w:tcMar>
          </w:tcPr>
          <w:p>
            <w:r>
              <w:rPr>
                <w:sz w:val="19"/>
                <w:szCs w:val="19"/>
              </w:rPr>
              <w:t xml:space="preserve">30,000</w:t>
            </w:r>
          </w:p>
        </w:tc>
      </w:tr>
      <w:tr>
        <w:tc>
          <w:tcPr>
            <w:tcMar>
              <w:top w:type="dxa" w:w="60"/>
              <w:left w:type="dxa" w:w="120"/>
              <w:bottom w:type="dxa" w:w="60"/>
              <w:right w:type="dxa" w:w="120"/>
            </w:tcMar>
          </w:tcPr>
          <w:p>
            <w:r>
              <w:rPr>
                <w:sz w:val="19"/>
                <w:szCs w:val="19"/>
              </w:rPr>
              <w:t xml:space="preserve">Cash the holders would pay on exercise</w:t>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Shares that cash would buy back at the $9 average price</w:t>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Incremental shares added to the denominator</w:t>
            </w:r>
          </w:p>
        </w:tc>
        <w:tc>
          <w:tcPr>
            <w:tcMar>
              <w:top w:type="dxa" w:w="60"/>
              <w:left w:type="dxa" w:w="120"/>
              <w:bottom w:type="dxa" w:w="60"/>
              <w:right w:type="dxa" w:w="120"/>
            </w:tcMar>
          </w:tcPr>
          <w:p>
            <w:r>
              <w:rPr>
                <w:sz w:val="19"/>
                <w:szCs w:val="19"/>
              </w:rPr>
              <w:t xml:space="preserve"/>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16"/>
        <w:gridCol w:w="16"/>
        <w:gridCol w:w="16"/>
        <w:gridCol w:w="16"/>
        <w:gridCol w:w="16"/>
        <w:gridCol w:w="16"/>
      </w:tblGrid>
      <w:tr>
        <w:tc>
          <w:tcPr>
            <w:tcMar>
              <w:top w:type="dxa" w:w="60"/>
              <w:left w:type="dxa" w:w="120"/>
              <w:bottom w:type="dxa" w:w="60"/>
              <w:right w:type="dxa" w:w="120"/>
            </w:tcMar>
          </w:tcPr>
          <w:p>
            <w:r>
              <w:rPr>
                <w:b/>
                <w:bCs/>
                <w:color w:val="353A7C"/>
                <w:sz w:val="15"/>
                <w:szCs w:val="15"/>
              </w:rPr>
              <w:t xml:space="preserve">1</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2</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3</w:t>
            </w:r>
          </w:p>
          <w:p>
            <w:r>
              <w:rPr>
                <w:sz w:val="24"/>
                <w:szCs w:val="24"/>
              </w:rPr>
              <w:t xml:space="preserve"> </w:t>
            </w:r>
          </w:p>
        </w:tc>
      </w:tr>
    </w:tbl>
    <w:p/>
    <w:p>
      <w:pPr>
        <w:spacing w:after="40" w:before="90"/>
        <w:jc w:val="center"/>
      </w:pPr>
      <w:r>
        <w:drawing>
          <wp:inline distT="0" distB="0" distL="0" distR="0">
            <wp:extent cx="5734050" cy="201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5734050" cy="2013300"/>
                    </a:xfrm>
                    <a:prstGeom prst="rect">
                      <a:avLst/>
                    </a:prstGeom>
                  </pic:spPr>
                </pic:pic>
              </a:graphicData>
            </a:graphic>
          </wp:inline>
        </w:drawing>
      </w:r>
    </w:p>
    <w:p>
      <w:pPr>
        <w:shd w:fill="353A7C" w:val="clear"/>
        <w:spacing w:after="80" w:before="230"/>
      </w:pPr>
      <w:r>
        <w:rPr>
          <w:b/>
          <w:bCs/>
          <w:color w:val="FFFFFF"/>
          <w:sz w:val="26"/>
          <w:szCs w:val="26"/>
        </w:rPr>
        <w:t xml:space="preserve">  Part 4 · The diluted figure</w:t>
      </w:r>
      <w:r>
        <w:rPr>
          <w:b/>
          <w:bCs/>
          <w:color w:val="FFFFFF"/>
          <w:sz w:val="16"/>
          <w:szCs w:val="16"/>
        </w:rPr>
        <w:t xml:space="preserve">    one denominator, adjusted</w:t>
      </w:r>
    </w:p>
    <w:p>
      <w:pPr>
        <w:spacing w:before="230" w:after="80"/>
        <w:pBdr>
          <w:top w:val="single" w:sz="12" w:space="7" w:color="353A7C"/>
        </w:pBdr>
      </w:pPr>
      <w:r>
        <w:rPr>
          <w:b/>
          <w:bCs/>
          <w:color w:val="353A7C"/>
          <w:sz w:val="22"/>
          <w:szCs w:val="22"/>
        </w:rPr>
        <w:t xml:space="preserve">Exercise 2D   </w:t>
      </w:r>
      <w:r>
        <w:rPr>
          <w:b/>
          <w:bCs/>
          <w:sz w:val="21"/>
          <w:szCs w:val="21"/>
        </w:rPr>
        <w:t xml:space="preserve">Complete the grid. The numerator does not change.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Compute diluted earnings per share with the options included.</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2C, and Handout 1 for the basic figure.</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Options bring in cash and cost the company no interest, so nothing is added to the numerator.</w:t>
            </w:r>
          </w:p>
          <w:p>
            <w:pPr>
              <w:spacing w:after="30"/>
            </w:pPr>
            <w:r>
              <w:rPr>
                <w:color w:val="353A7C"/>
                <w:sz w:val="18"/>
                <w:szCs w:val="18"/>
              </w:rPr>
              <w:t xml:space="preserve">•  </w:t>
            </w:r>
            <w:r>
              <w:rPr>
                <w:sz w:val="18"/>
                <w:szCs w:val="18"/>
              </w:rPr>
              <w:t xml:space="preserve">The denominator is the 291,750 weighted average plus the 10,000 incremental shares.</w:t>
            </w:r>
          </w:p>
          <w:p>
            <w:pPr>
              <w:spacing w:after="30"/>
            </w:pPr>
            <w:r>
              <w:rPr>
                <w:color w:val="353A7C"/>
                <w:sz w:val="18"/>
                <w:szCs w:val="18"/>
              </w:rPr>
              <w:t xml:space="preserve">•  </w:t>
            </w:r>
            <w:r>
              <w:rPr>
                <w:sz w:val="18"/>
                <w:szCs w:val="18"/>
              </w:rPr>
              <w:t xml:space="preserve">Your diluted figure must come out below the basic $1.75. If it does not, check the direction of the adjustment.</w:t>
            </w:r>
          </w:p>
        </w:tc>
      </w:tr>
    </w:tbl>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34"/>
        <w:gridCol w:w="22"/>
        <w:gridCol w:w="22"/>
        <w:gridCol w:w="22"/>
      </w:tblGrid>
      <w:tr>
        <w:tc>
          <w:tcPr>
            <w:shd w:fill="1F6F8F" w:val="clear"/>
            <w:tcMar>
              <w:top w:type="dxa" w:w="60"/>
              <w:left w:type="dxa" w:w="120"/>
              <w:bottom w:type="dxa" w:w="60"/>
              <w:right w:type="dxa" w:w="120"/>
            </w:tcMar>
          </w:tcPr>
          <w:p>
            <w:r>
              <w:rPr>
                <w:b/>
                <w:bCs/>
                <w:color w:val="FFFFFF"/>
                <w:sz w:val="19"/>
                <w:szCs w:val="19"/>
              </w:rPr>
              <w:t xml:space="preserve">Diluted EPS for 20X4</w:t>
            </w:r>
          </w:p>
        </w:tc>
        <w:tc>
          <w:tcPr>
            <w:shd w:fill="1F6F8F" w:val="clear"/>
            <w:tcMar>
              <w:top w:type="dxa" w:w="60"/>
              <w:left w:type="dxa" w:w="120"/>
              <w:bottom w:type="dxa" w:w="60"/>
              <w:right w:type="dxa" w:w="120"/>
            </w:tcMar>
          </w:tcPr>
          <w:p>
            <w:r>
              <w:rPr>
                <w:b/>
                <w:bCs/>
                <w:color w:val="FFFFFF"/>
                <w:sz w:val="19"/>
                <w:szCs w:val="19"/>
              </w:rPr>
              <w:t xml:space="preserve">Numerator</w:t>
            </w:r>
          </w:p>
        </w:tc>
        <w:tc>
          <w:tcPr>
            <w:shd w:fill="1F6F8F" w:val="clear"/>
            <w:tcMar>
              <w:top w:type="dxa" w:w="60"/>
              <w:left w:type="dxa" w:w="120"/>
              <w:bottom w:type="dxa" w:w="60"/>
              <w:right w:type="dxa" w:w="120"/>
            </w:tcMar>
          </w:tcPr>
          <w:p>
            <w:r>
              <w:rPr>
                <w:b/>
                <w:bCs/>
                <w:color w:val="FFFFFF"/>
                <w:sz w:val="19"/>
                <w:szCs w:val="19"/>
              </w:rPr>
              <w:t xml:space="preserve">Denominator</w:t>
            </w:r>
          </w:p>
        </w:tc>
        <w:tc>
          <w:tcPr>
            <w:shd w:fill="1F6F8F" w:val="clear"/>
            <w:tcMar>
              <w:top w:type="dxa" w:w="60"/>
              <w:left w:type="dxa" w:w="120"/>
              <w:bottom w:type="dxa" w:w="60"/>
              <w:right w:type="dxa" w:w="120"/>
            </w:tcMar>
          </w:tcPr>
          <w:p>
            <w:r>
              <w:rPr>
                <w:b/>
                <w:bCs/>
                <w:color w:val="FFFFFF"/>
                <w:sz w:val="19"/>
                <w:szCs w:val="19"/>
              </w:rPr>
              <w:t xml:space="preserve">Per share</w:t>
            </w:r>
          </w:p>
        </w:tc>
      </w:tr>
      <w:tr>
        <w:tc>
          <w:tcPr>
            <w:tcMar>
              <w:top w:type="dxa" w:w="60"/>
              <w:left w:type="dxa" w:w="120"/>
              <w:bottom w:type="dxa" w:w="60"/>
              <w:right w:type="dxa" w:w="120"/>
            </w:tcMar>
          </w:tcPr>
          <w:p>
            <w:r>
              <w:rPr>
                <w:sz w:val="19"/>
                <w:szCs w:val="19"/>
              </w:rPr>
              <w:t xml:space="preserve">Basic</w:t>
            </w:r>
          </w:p>
        </w:tc>
        <w:tc>
          <w:tcPr>
            <w:tcMar>
              <w:top w:type="dxa" w:w="60"/>
              <w:left w:type="dxa" w:w="120"/>
              <w:bottom w:type="dxa" w:w="60"/>
              <w:right w:type="dxa" w:w="120"/>
            </w:tcMar>
          </w:tcPr>
          <w:p>
            <w:r>
              <w:rPr>
                <w:sz w:val="19"/>
                <w:szCs w:val="19"/>
              </w:rPr>
              <w:t xml:space="preserve">$510,000</w:t>
            </w:r>
          </w:p>
        </w:tc>
        <w:tc>
          <w:tcPr>
            <w:tcMar>
              <w:top w:type="dxa" w:w="60"/>
              <w:left w:type="dxa" w:w="120"/>
              <w:bottom w:type="dxa" w:w="60"/>
              <w:right w:type="dxa" w:w="120"/>
            </w:tcMar>
          </w:tcPr>
          <w:p>
            <w:r>
              <w:rPr>
                <w:sz w:val="19"/>
                <w:szCs w:val="19"/>
              </w:rPr>
              <w:t xml:space="preserve">291,750</w:t>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Add the incremental shares</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Diluted, options only</w:t>
            </w:r>
          </w:p>
        </w:tc>
        <w:tc>
          <w:tcPr>
            <w:tcMar>
              <w:top w:type="dxa" w:w="60"/>
              <w:left w:type="dxa" w:w="120"/>
              <w:bottom w:type="dxa" w:w="60"/>
              <w:right w:type="dxa" w:w="120"/>
            </w:tcMar>
          </w:tcPr>
          <w:p>
            <w:r>
              <w:rPr>
                <w:sz w:val="19"/>
                <w:szCs w:val="19"/>
              </w:rPr>
              <w:t xml:space="preserve">$510,000</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16"/>
        <w:gridCol w:w="16"/>
        <w:gridCol w:w="16"/>
        <w:gridCol w:w="16"/>
        <w:gridCol w:w="16"/>
        <w:gridCol w:w="16"/>
      </w:tblGrid>
      <w:tr>
        <w:tc>
          <w:tcPr>
            <w:tcMar>
              <w:top w:type="dxa" w:w="60"/>
              <w:left w:type="dxa" w:w="120"/>
              <w:bottom w:type="dxa" w:w="60"/>
              <w:right w:type="dxa" w:w="120"/>
            </w:tcMar>
          </w:tcPr>
          <w:p>
            <w:r>
              <w:rPr>
                <w:b/>
                <w:bCs/>
                <w:color w:val="353A7C"/>
                <w:sz w:val="15"/>
                <w:szCs w:val="15"/>
              </w:rPr>
              <w:t xml:space="preserve">1</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2</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3</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4</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5</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6</w:t>
            </w:r>
          </w:p>
          <w:p>
            <w:r>
              <w:rPr>
                <w:sz w:val="24"/>
                <w:szCs w:val="24"/>
              </w:rPr>
              <w:t xml:space="preserve"> </w:t>
            </w:r>
          </w:p>
        </w:tc>
      </w:tr>
    </w:tbl>
    <w:p/>
    <w:p>
      <w:pPr>
        <w:spacing w:after="40" w:before="90"/>
        <w:jc w:val="center"/>
      </w:pPr>
      <w:r>
        <w:drawing>
          <wp:inline distT="0" distB="0" distL="0" distR="0">
            <wp:extent cx="5734050" cy="1720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5734050" cy="1720225"/>
                    </a:xfrm>
                    <a:prstGeom prst="rect">
                      <a:avLst/>
                    </a:prstGeom>
                  </pic:spPr>
                </pic:pic>
              </a:graphicData>
            </a:graphic>
          </wp:inline>
        </w:drawing>
      </w:r>
    </w:p>
    <w:p>
      <w:pPr>
        <w:shd w:fill="FDEEEC" w:val="clear"/>
        <w:spacing w:after="100" w:before="60"/>
      </w:pPr>
      <w:r>
        <w:rPr>
          <w:b/>
          <w:bCs/>
          <w:color w:val="C0483F"/>
          <w:sz w:val="20"/>
          <w:szCs w:val="20"/>
        </w:rPr>
        <w:t xml:space="preserve">  Watch out!  </w:t>
      </w:r>
      <w:r>
        <w:rPr>
          <w:sz w:val="20"/>
          <w:szCs w:val="20"/>
        </w:rPr>
        <w:t xml:space="preserve">The treasury stock method repurchases at the average market price and nothing else. A stem that gives you an exercise price, an average price and a closing price is giving you two figures you need and one you must not use.  </w:t>
      </w:r>
    </w:p>
    <w:p>
      <w:pPr>
        <w:shd w:fill="353A7C" w:val="clear"/>
        <w:spacing w:after="80" w:before="230"/>
      </w:pPr>
      <w:r>
        <w:rPr>
          <w:b/>
          <w:bCs/>
          <w:color w:val="FFFFFF"/>
          <w:sz w:val="26"/>
          <w:szCs w:val="26"/>
        </w:rPr>
        <w:t xml:space="preserve">  Part 5 · Exam pitch</w:t>
      </w:r>
      <w:r>
        <w:rPr>
          <w:b/>
          <w:bCs/>
          <w:color w:val="FFFFFF"/>
          <w:sz w:val="16"/>
          <w:szCs w:val="16"/>
        </w:rPr>
        <w:t xml:space="preserve">    the questions as the CMA sets them</w:t>
      </w:r>
    </w:p>
    <w:p>
      <w:pPr>
        <w:spacing w:before="150" w:after="60"/>
      </w:pPr>
      <w:r>
        <w:rPr>
          <w:b/>
          <w:bCs/>
          <w:color w:val="353A7C"/>
          <w:sz w:val="19"/>
          <w:szCs w:val="19"/>
        </w:rPr>
        <w:t xml:space="preserve">1.  [Level A]  </w:t>
      </w:r>
      <w:r>
        <w:rPr>
          <w:b/>
          <w:bCs/>
          <w:sz w:val="19"/>
          <w:szCs w:val="19"/>
        </w:rPr>
        <w:t xml:space="preserve">Diluted earnings per share assumes that:</w:t>
      </w:r>
    </w:p>
    <w:p>
      <w:pPr>
        <w:ind w:left="340"/>
        <w:spacing w:after="30"/>
      </w:pPr>
      <w:r>
        <w:rPr>
          <w:color w:val="6B7280"/>
          <w:sz w:val="19"/>
          <w:szCs w:val="19"/>
        </w:rPr>
        <w:t xml:space="preserve">(A)  </w:t>
      </w:r>
      <w:r>
        <w:rPr>
          <w:sz w:val="19"/>
          <w:szCs w:val="19"/>
        </w:rPr>
        <w:t xml:space="preserve">All potential common shares are exercised or converted</w:t>
      </w:r>
    </w:p>
    <w:p>
      <w:pPr>
        <w:ind w:left="340"/>
        <w:spacing w:after="30"/>
      </w:pPr>
      <w:r>
        <w:rPr>
          <w:color w:val="6B7280"/>
          <w:sz w:val="19"/>
          <w:szCs w:val="19"/>
        </w:rPr>
        <w:t xml:space="preserve">(B)  </w:t>
      </w:r>
      <w:r>
        <w:rPr>
          <w:sz w:val="19"/>
          <w:szCs w:val="19"/>
        </w:rPr>
        <w:t xml:space="preserve">All dilutive potential common shares are exercised or converted</w:t>
      </w:r>
    </w:p>
    <w:p>
      <w:pPr>
        <w:ind w:left="340"/>
        <w:spacing w:after="30"/>
      </w:pPr>
      <w:r>
        <w:rPr>
          <w:color w:val="6B7280"/>
          <w:sz w:val="19"/>
          <w:szCs w:val="19"/>
        </w:rPr>
        <w:t xml:space="preserve">(C)  </w:t>
      </w:r>
      <w:r>
        <w:rPr>
          <w:sz w:val="19"/>
          <w:szCs w:val="19"/>
        </w:rPr>
        <w:t xml:space="preserve">No potential common shares are exercised</w:t>
      </w:r>
    </w:p>
    <w:p>
      <w:pPr>
        <w:ind w:left="340"/>
        <w:spacing w:after="30"/>
      </w:pPr>
      <w:r>
        <w:rPr>
          <w:color w:val="6B7280"/>
          <w:sz w:val="19"/>
          <w:szCs w:val="19"/>
        </w:rPr>
        <w:t xml:space="preserve">(D)  </w:t>
      </w:r>
      <w:r>
        <w:rPr>
          <w:sz w:val="19"/>
          <w:szCs w:val="19"/>
        </w:rPr>
        <w:t xml:space="preserve">Half the potential common shares are exercised</w:t>
      </w:r>
    </w:p>
    <w:p>
      <w:pPr>
        <w:spacing w:before="150" w:after="60"/>
      </w:pPr>
      <w:r>
        <w:rPr>
          <w:b/>
          <w:bCs/>
          <w:color w:val="353A7C"/>
          <w:sz w:val="19"/>
          <w:szCs w:val="19"/>
        </w:rPr>
        <w:t xml:space="preserve">2.  [Level A]  </w:t>
      </w:r>
      <w:r>
        <w:rPr>
          <w:b/>
          <w:bCs/>
          <w:sz w:val="19"/>
          <w:szCs w:val="19"/>
        </w:rPr>
        <w:t xml:space="preserve">An option is dilutive when its exercise price is:</w:t>
      </w:r>
    </w:p>
    <w:p>
      <w:pPr>
        <w:ind w:left="340"/>
        <w:spacing w:after="30"/>
      </w:pPr>
      <w:r>
        <w:rPr>
          <w:color w:val="6B7280"/>
          <w:sz w:val="19"/>
          <w:szCs w:val="19"/>
        </w:rPr>
        <w:t xml:space="preserve">(A)  </w:t>
      </w:r>
      <w:r>
        <w:rPr>
          <w:sz w:val="19"/>
          <w:szCs w:val="19"/>
        </w:rPr>
        <w:t xml:space="preserve">Above the average market price</w:t>
      </w:r>
    </w:p>
    <w:p>
      <w:pPr>
        <w:ind w:left="340"/>
        <w:spacing w:after="30"/>
      </w:pPr>
      <w:r>
        <w:rPr>
          <w:color w:val="6B7280"/>
          <w:sz w:val="19"/>
          <w:szCs w:val="19"/>
        </w:rPr>
        <w:t xml:space="preserve">(B)  </w:t>
      </w:r>
      <w:r>
        <w:rPr>
          <w:sz w:val="19"/>
          <w:szCs w:val="19"/>
        </w:rPr>
        <w:t xml:space="preserve">Below the average market price</w:t>
      </w:r>
    </w:p>
    <w:p>
      <w:pPr>
        <w:ind w:left="340"/>
        <w:spacing w:after="30"/>
      </w:pPr>
      <w:r>
        <w:rPr>
          <w:color w:val="6B7280"/>
          <w:sz w:val="19"/>
          <w:szCs w:val="19"/>
        </w:rPr>
        <w:t xml:space="preserve">(C)  </w:t>
      </w:r>
      <w:r>
        <w:rPr>
          <w:sz w:val="19"/>
          <w:szCs w:val="19"/>
        </w:rPr>
        <w:t xml:space="preserve">Equal to the par value</w:t>
      </w:r>
    </w:p>
    <w:p>
      <w:pPr>
        <w:ind w:left="340"/>
        <w:spacing w:after="30"/>
      </w:pPr>
      <w:r>
        <w:rPr>
          <w:color w:val="6B7280"/>
          <w:sz w:val="19"/>
          <w:szCs w:val="19"/>
        </w:rPr>
        <w:t xml:space="preserve">(D)  </w:t>
      </w:r>
      <w:r>
        <w:rPr>
          <w:sz w:val="19"/>
          <w:szCs w:val="19"/>
        </w:rPr>
        <w:t xml:space="preserve">Below the closing market price</w:t>
      </w:r>
    </w:p>
    <w:p>
      <w:pPr>
        <w:spacing w:before="150" w:after="60"/>
      </w:pPr>
      <w:r>
        <w:rPr>
          <w:b/>
          <w:bCs/>
          <w:color w:val="353A7C"/>
          <w:sz w:val="19"/>
          <w:szCs w:val="19"/>
        </w:rPr>
        <w:t xml:space="preserve">3.  [Level B]  </w:t>
      </w:r>
      <w:r>
        <w:rPr>
          <w:b/>
          <w:bCs/>
          <w:sz w:val="19"/>
          <w:szCs w:val="19"/>
        </w:rPr>
        <w:t xml:space="preserve">Under the treasury stock method, the proceeds from assumed exercise are used to:</w:t>
      </w:r>
    </w:p>
    <w:p>
      <w:pPr>
        <w:ind w:left="340"/>
        <w:spacing w:after="30"/>
      </w:pPr>
      <w:r>
        <w:rPr>
          <w:color w:val="6B7280"/>
          <w:sz w:val="19"/>
          <w:szCs w:val="19"/>
        </w:rPr>
        <w:t xml:space="preserve">(A)  </w:t>
      </w:r>
      <w:r>
        <w:rPr>
          <w:sz w:val="19"/>
          <w:szCs w:val="19"/>
        </w:rPr>
        <w:t xml:space="preserve">Reduce the numerator</w:t>
      </w:r>
    </w:p>
    <w:p>
      <w:pPr>
        <w:ind w:left="340"/>
        <w:spacing w:after="30"/>
      </w:pPr>
      <w:r>
        <w:rPr>
          <w:color w:val="6B7280"/>
          <w:sz w:val="19"/>
          <w:szCs w:val="19"/>
        </w:rPr>
        <w:t xml:space="preserve">(B)  </w:t>
      </w:r>
      <w:r>
        <w:rPr>
          <w:sz w:val="19"/>
          <w:szCs w:val="19"/>
        </w:rPr>
        <w:t xml:space="preserve">Repurchase shares at the average market price</w:t>
      </w:r>
    </w:p>
    <w:p>
      <w:pPr>
        <w:ind w:left="340"/>
        <w:spacing w:after="30"/>
      </w:pPr>
      <w:r>
        <w:rPr>
          <w:color w:val="6B7280"/>
          <w:sz w:val="19"/>
          <w:szCs w:val="19"/>
        </w:rPr>
        <w:t xml:space="preserve">(C)  </w:t>
      </w:r>
      <w:r>
        <w:rPr>
          <w:sz w:val="19"/>
          <w:szCs w:val="19"/>
        </w:rPr>
        <w:t xml:space="preserve">Repurchase shares at the exercise price</w:t>
      </w:r>
    </w:p>
    <w:p>
      <w:pPr>
        <w:ind w:left="340"/>
        <w:spacing w:after="30"/>
      </w:pPr>
      <w:r>
        <w:rPr>
          <w:color w:val="6B7280"/>
          <w:sz w:val="19"/>
          <w:szCs w:val="19"/>
        </w:rPr>
        <w:t xml:space="preserve">(D)  </w:t>
      </w:r>
      <w:r>
        <w:rPr>
          <w:sz w:val="19"/>
          <w:szCs w:val="19"/>
        </w:rPr>
        <w:t xml:space="preserve">Pay a dividend</w:t>
      </w:r>
    </w:p>
    <w:p>
      <w:pPr>
        <w:spacing w:before="150" w:after="60"/>
      </w:pPr>
      <w:r>
        <w:rPr>
          <w:b/>
          <w:bCs/>
          <w:color w:val="353A7C"/>
          <w:sz w:val="19"/>
          <w:szCs w:val="19"/>
        </w:rPr>
        <w:t xml:space="preserve">4.  [Level B]  </w:t>
      </w:r>
      <w:r>
        <w:rPr>
          <w:b/>
          <w:bCs/>
          <w:sz w:val="19"/>
          <w:szCs w:val="19"/>
        </w:rPr>
        <w:t xml:space="preserve">30,000 options at an exercise price of $6 are outstanding when the average market price is $9. The incremental shares are:</w:t>
      </w:r>
    </w:p>
    <w:p>
      <w:pPr>
        <w:ind w:left="340"/>
        <w:spacing w:after="30"/>
      </w:pPr>
      <w:r>
        <w:rPr>
          <w:color w:val="6B7280"/>
          <w:sz w:val="19"/>
          <w:szCs w:val="19"/>
        </w:rPr>
        <w:t xml:space="preserve">(A)  </w:t>
      </w:r>
      <w:r>
        <w:rPr>
          <w:sz w:val="19"/>
          <w:szCs w:val="19"/>
        </w:rPr>
        <w:t xml:space="preserve">30,000</w:t>
      </w:r>
    </w:p>
    <w:p>
      <w:pPr>
        <w:ind w:left="340"/>
        <w:spacing w:after="30"/>
      </w:pPr>
      <w:r>
        <w:rPr>
          <w:color w:val="6B7280"/>
          <w:sz w:val="19"/>
          <w:szCs w:val="19"/>
        </w:rPr>
        <w:t xml:space="preserve">(B)  </w:t>
      </w:r>
      <w:r>
        <w:rPr>
          <w:sz w:val="19"/>
          <w:szCs w:val="19"/>
        </w:rPr>
        <w:t xml:space="preserve">10,000</w:t>
      </w:r>
    </w:p>
    <w:p>
      <w:pPr>
        <w:ind w:left="340"/>
        <w:spacing w:after="30"/>
      </w:pPr>
      <w:r>
        <w:rPr>
          <w:color w:val="6B7280"/>
          <w:sz w:val="19"/>
          <w:szCs w:val="19"/>
        </w:rPr>
        <w:t xml:space="preserve">(C)  </w:t>
      </w:r>
      <w:r>
        <w:rPr>
          <w:sz w:val="19"/>
          <w:szCs w:val="19"/>
        </w:rPr>
        <w:t xml:space="preserve">20,000</w:t>
      </w:r>
    </w:p>
    <w:p>
      <w:pPr>
        <w:ind w:left="340"/>
        <w:spacing w:after="30"/>
      </w:pPr>
      <w:r>
        <w:rPr>
          <w:color w:val="6B7280"/>
          <w:sz w:val="19"/>
          <w:szCs w:val="19"/>
        </w:rPr>
        <w:t xml:space="preserve">(D)  </w:t>
      </w:r>
      <w:r>
        <w:rPr>
          <w:sz w:val="19"/>
          <w:szCs w:val="19"/>
        </w:rPr>
        <w:t xml:space="preserve">Nil</w:t>
      </w:r>
    </w:p>
    <w:p>
      <w:pPr>
        <w:spacing w:before="150" w:after="60"/>
      </w:pPr>
      <w:r>
        <w:rPr>
          <w:b/>
          <w:bCs/>
          <w:color w:val="353A7C"/>
          <w:sz w:val="19"/>
          <w:szCs w:val="19"/>
        </w:rPr>
        <w:t xml:space="preserve">5.  [Level B]  </w:t>
      </w:r>
      <w:r>
        <w:rPr>
          <w:b/>
          <w:bCs/>
          <w:sz w:val="19"/>
          <w:szCs w:val="19"/>
        </w:rPr>
        <w:t xml:space="preserve">Options exercisable at $12 are outstanding when the shares average $9. In computing diluted earnings per share they are:</w:t>
      </w:r>
    </w:p>
    <w:p>
      <w:pPr>
        <w:ind w:left="340"/>
        <w:spacing w:after="30"/>
      </w:pPr>
      <w:r>
        <w:rPr>
          <w:color w:val="6B7280"/>
          <w:sz w:val="19"/>
          <w:szCs w:val="19"/>
        </w:rPr>
        <w:t xml:space="preserve">(A)  </w:t>
      </w:r>
      <w:r>
        <w:rPr>
          <w:sz w:val="19"/>
          <w:szCs w:val="19"/>
        </w:rPr>
        <w:t xml:space="preserve">Included, using the treasury stock method</w:t>
      </w:r>
    </w:p>
    <w:p>
      <w:pPr>
        <w:ind w:left="340"/>
        <w:spacing w:after="30"/>
      </w:pPr>
      <w:r>
        <w:rPr>
          <w:color w:val="6B7280"/>
          <w:sz w:val="19"/>
          <w:szCs w:val="19"/>
        </w:rPr>
        <w:t xml:space="preserve">(B)  </w:t>
      </w:r>
      <w:r>
        <w:rPr>
          <w:sz w:val="19"/>
          <w:szCs w:val="19"/>
        </w:rPr>
        <w:t xml:space="preserve">Excluded, because exercise would raise the figure</w:t>
      </w:r>
    </w:p>
    <w:p>
      <w:pPr>
        <w:ind w:left="340"/>
        <w:spacing w:after="30"/>
      </w:pPr>
      <w:r>
        <w:rPr>
          <w:color w:val="6B7280"/>
          <w:sz w:val="19"/>
          <w:szCs w:val="19"/>
        </w:rPr>
        <w:t xml:space="preserve">(C)  </w:t>
      </w:r>
      <w:r>
        <w:rPr>
          <w:sz w:val="19"/>
          <w:szCs w:val="19"/>
        </w:rPr>
        <w:t xml:space="preserve">Included at half weight</w:t>
      </w:r>
    </w:p>
    <w:p>
      <w:pPr>
        <w:ind w:left="340"/>
        <w:spacing w:after="30"/>
      </w:pPr>
      <w:r>
        <w:rPr>
          <w:color w:val="6B7280"/>
          <w:sz w:val="19"/>
          <w:szCs w:val="19"/>
        </w:rPr>
        <w:t xml:space="preserve">(D)  </w:t>
      </w:r>
      <w:r>
        <w:rPr>
          <w:sz w:val="19"/>
          <w:szCs w:val="19"/>
        </w:rPr>
        <w:t xml:space="preserve">Added to the numerator</w:t>
      </w:r>
    </w:p>
    <w:p>
      <w:pPr>
        <w:spacing w:before="150" w:after="60"/>
      </w:pPr>
      <w:r>
        <w:rPr>
          <w:b/>
          <w:bCs/>
          <w:color w:val="353A7C"/>
          <w:sz w:val="19"/>
          <w:szCs w:val="19"/>
        </w:rPr>
        <w:t xml:space="preserve">6.  [Level C]  </w:t>
      </w:r>
      <w:r>
        <w:rPr>
          <w:b/>
          <w:bCs/>
          <w:sz w:val="19"/>
          <w:szCs w:val="19"/>
        </w:rPr>
        <w:t xml:space="preserve">Applying the treasury stock method to Northwind’s options changes:</w:t>
      </w:r>
    </w:p>
    <w:p>
      <w:pPr>
        <w:ind w:left="340"/>
        <w:spacing w:after="30"/>
      </w:pPr>
      <w:r>
        <w:rPr>
          <w:color w:val="6B7280"/>
          <w:sz w:val="19"/>
          <w:szCs w:val="19"/>
        </w:rPr>
        <w:t xml:space="preserve">(A)  </w:t>
      </w:r>
      <w:r>
        <w:rPr>
          <w:sz w:val="19"/>
          <w:szCs w:val="19"/>
        </w:rPr>
        <w:t xml:space="preserve">The numerator only</w:t>
      </w:r>
    </w:p>
    <w:p>
      <w:pPr>
        <w:ind w:left="340"/>
        <w:spacing w:after="30"/>
      </w:pPr>
      <w:r>
        <w:rPr>
          <w:color w:val="6B7280"/>
          <w:sz w:val="19"/>
          <w:szCs w:val="19"/>
        </w:rPr>
        <w:t xml:space="preserve">(B)  </w:t>
      </w:r>
      <w:r>
        <w:rPr>
          <w:sz w:val="19"/>
          <w:szCs w:val="19"/>
        </w:rPr>
        <w:t xml:space="preserve">The denominator only</w:t>
      </w:r>
    </w:p>
    <w:p>
      <w:pPr>
        <w:ind w:left="340"/>
        <w:spacing w:after="30"/>
      </w:pPr>
      <w:r>
        <w:rPr>
          <w:color w:val="6B7280"/>
          <w:sz w:val="19"/>
          <w:szCs w:val="19"/>
        </w:rPr>
        <w:t xml:space="preserve">(C)  </w:t>
      </w:r>
      <w:r>
        <w:rPr>
          <w:sz w:val="19"/>
          <w:szCs w:val="19"/>
        </w:rPr>
        <w:t xml:space="preserve">Both the numerator and the denominator</w:t>
      </w:r>
    </w:p>
    <w:p>
      <w:pPr>
        <w:ind w:left="340"/>
        <w:spacing w:after="30"/>
      </w:pPr>
      <w:r>
        <w:rPr>
          <w:color w:val="6B7280"/>
          <w:sz w:val="19"/>
          <w:szCs w:val="19"/>
        </w:rPr>
        <w:t xml:space="preserve">(D)  </w:t>
      </w:r>
      <w:r>
        <w:rPr>
          <w:sz w:val="19"/>
          <w:szCs w:val="19"/>
        </w:rPr>
        <w:t xml:space="preserve">Neither</w:t>
      </w:r>
    </w:p>
    <w:p>
      <w:pPr>
        <w:spacing w:before="150" w:after="60"/>
      </w:pPr>
      <w:r>
        <w:rPr>
          <w:b/>
          <w:bCs/>
          <w:color w:val="353A7C"/>
          <w:sz w:val="19"/>
          <w:szCs w:val="19"/>
        </w:rPr>
        <w:t xml:space="preserve">7.  [Level C]  </w:t>
      </w:r>
      <w:r>
        <w:rPr>
          <w:b/>
          <w:bCs/>
          <w:sz w:val="19"/>
          <w:szCs w:val="19"/>
        </w:rPr>
        <w:t xml:space="preserve">A company with no options, warrants or convertible securities reports:</w:t>
      </w:r>
    </w:p>
    <w:p>
      <w:pPr>
        <w:ind w:left="340"/>
        <w:spacing w:after="30"/>
      </w:pPr>
      <w:r>
        <w:rPr>
          <w:color w:val="6B7280"/>
          <w:sz w:val="19"/>
          <w:szCs w:val="19"/>
        </w:rPr>
        <w:t xml:space="preserve">(A)  </w:t>
      </w:r>
      <w:r>
        <w:rPr>
          <w:sz w:val="19"/>
          <w:szCs w:val="19"/>
        </w:rPr>
        <w:t xml:space="preserve">Basic and diluted earnings per share, which will be equal</w:t>
      </w:r>
    </w:p>
    <w:p>
      <w:pPr>
        <w:ind w:left="340"/>
        <w:spacing w:after="30"/>
      </w:pPr>
      <w:r>
        <w:rPr>
          <w:color w:val="6B7280"/>
          <w:sz w:val="19"/>
          <w:szCs w:val="19"/>
        </w:rPr>
        <w:t xml:space="preserve">(B)  </w:t>
      </w:r>
      <w:r>
        <w:rPr>
          <w:sz w:val="19"/>
          <w:szCs w:val="19"/>
        </w:rPr>
        <w:t xml:space="preserve">Basic earnings per share only</w:t>
      </w:r>
    </w:p>
    <w:p>
      <w:pPr>
        <w:ind w:left="340"/>
        <w:spacing w:after="30"/>
      </w:pPr>
      <w:r>
        <w:rPr>
          <w:color w:val="6B7280"/>
          <w:sz w:val="19"/>
          <w:szCs w:val="19"/>
        </w:rPr>
        <w:t xml:space="preserve">(C)  </w:t>
      </w:r>
      <w:r>
        <w:rPr>
          <w:sz w:val="19"/>
          <w:szCs w:val="19"/>
        </w:rPr>
        <w:t xml:space="preserve">Diluted earnings per share only</w:t>
      </w:r>
    </w:p>
    <w:p>
      <w:pPr>
        <w:ind w:left="340"/>
        <w:spacing w:after="30"/>
      </w:pPr>
      <w:r>
        <w:rPr>
          <w:color w:val="6B7280"/>
          <w:sz w:val="19"/>
          <w:szCs w:val="19"/>
        </w:rPr>
        <w:t xml:space="preserve">(D)  </w:t>
      </w:r>
      <w:r>
        <w:rPr>
          <w:sz w:val="19"/>
          <w:szCs w:val="19"/>
        </w:rPr>
        <w:t xml:space="preserve">Neither figure</w:t>
      </w:r>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EEEFFC" w:val="clear"/>
            <w:tcMar>
              <w:top w:type="dxa" w:w="110"/>
              <w:left w:type="dxa" w:w="170"/>
              <w:bottom w:type="dxa" w:w="110"/>
              <w:right w:type="dxa" w:w="170"/>
            </w:tcMar>
          </w:tcPr>
          <w:p>
            <w:r>
              <w:rPr>
                <w:b/>
                <w:bCs/>
                <w:color w:val="353A7C"/>
                <w:sz w:val="19"/>
                <w:szCs w:val="19"/>
              </w:rPr>
              <w:t xml:space="preserve">ADAPTIVE TIP   </w:t>
            </w:r>
            <w:r>
              <w:rPr>
                <w:sz w:val="20"/>
                <w:szCs w:val="20"/>
              </w:rPr>
              <w:t xml:space="preserve">Run the in-the-money test before you compute anything. An out-of-the-money option needs no method, no proceeds and no arithmetic — it is simply excluded, and a candidate who starts computing has already lost time on a question designed to be answered in one line.</w:t>
            </w:r>
          </w:p>
        </w:tc>
      </w:tr>
    </w:tbl>
    <w:p/>
    <w:p>
      <w:pPr>
        <w:sectPr>
          <w:headerReference w:type="default" r:id="rIdHdr3"/>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3 · Convertibles, the If-Converted Method, and Antidilution</w:t>
      </w:r>
    </w:p>
    <w:p>
      <w:pPr>
        <w:spacing w:after="8"/>
      </w:pPr>
      <w:r>
        <w:rPr>
          <w:color w:val="23265A"/>
          <w:sz w:val="22"/>
          <w:szCs w:val="22"/>
        </w:rPr>
        <w:t xml:space="preserve">Northwind’s basic $1.75 falls to $1.65 once the options and the bond go in. A third security would raise it, so it stays out.</w:t>
      </w:r>
    </w:p>
    <w:p>
      <w:pPr>
        <w:spacing w:after="130"/>
      </w:pPr>
      <w:r>
        <w:rPr>
          <w:color w:val="6B7280"/>
          <w:sz w:val="20"/>
          <w:szCs w:val="20"/>
        </w:rPr>
        <w:t xml:space="preserve">Volume 15 · Earnings Per Share · R2 moving to R3</w:t>
      </w:r>
    </w:p>
    <w:tbl>
      <w:tblPr>
        <w:tblW w:type="pct" w:w="100%"/>
        <w:tblBorders>
          <w:top w:val="single" w:color="23265A" w:sz="4"/>
          <w:left w:val="single" w:color="23265A" w:sz="4"/>
          <w:bottom w:val="single" w:color="23265A" w:sz="4"/>
          <w:right w:val="single" w:color="23265A" w:sz="4"/>
          <w:insideH w:val="single" w:color="23265A" w:sz="4"/>
          <w:insideV w:val="single" w:color="23265A" w:sz="4"/>
        </w:tblBorders>
      </w:tblPr>
      <w:tblGrid>
        <w:gridCol w:w="34"/>
        <w:gridCol w:w="66"/>
      </w:tblGrid>
      <w:tr>
        <w:tc>
          <w:tcPr>
            <w:gridSpan w:val="2"/>
            <w:shd w:fill="23265A" w:val="clear"/>
          </w:tcPr>
          <w:p>
            <w:r>
              <w:rPr>
                <w:b/>
                <w:bCs/>
                <w:color w:val="FFFFFF"/>
                <w:sz w:val="17"/>
                <w:szCs w:val="17"/>
              </w:rPr>
              <w:t xml:space="preserve">LANGUAGE FOCUS</w:t>
            </w:r>
          </w:p>
        </w:tc>
      </w:tr>
      <w:tr>
        <w:tc>
          <w:tcPr>
            <w:shd w:fill="F5F7FC" w:val="clear"/>
            <w:tcMar>
              <w:top w:type="dxa" w:w="70"/>
              <w:left w:type="dxa" w:w="130"/>
              <w:bottom w:type="dxa" w:w="70"/>
              <w:right w:type="dxa" w:w="130"/>
            </w:tcMar>
          </w:tcPr>
          <w:p>
            <w:r>
              <w:rPr>
                <w:b/>
                <w:bCs/>
                <w:sz w:val="18"/>
                <w:szCs w:val="18"/>
              </w:rPr>
              <w:t xml:space="preserve">Register you are working in</w:t>
            </w:r>
          </w:p>
        </w:tc>
        <w:tc>
          <w:tcPr>
            <w:tcMar>
              <w:top w:type="dxa" w:w="70"/>
              <w:left w:type="dxa" w:w="130"/>
              <w:bottom w:type="dxa" w:w="70"/>
              <w:right w:type="dxa" w:w="130"/>
            </w:tcMar>
          </w:tcPr>
          <w:p>
            <w:r>
              <w:rPr>
                <w:sz w:val="18"/>
                <w:szCs w:val="18"/>
              </w:rPr>
              <w:t xml:space="preserve">R2 for the method, R3 for the antidilution test, which the exam sets as a ranking question.</w:t>
            </w:r>
          </w:p>
        </w:tc>
      </w:tr>
      <w:tr>
        <w:tc>
          <w:tcPr>
            <w:shd w:fill="F5F7FC" w:val="clear"/>
            <w:tcMar>
              <w:top w:type="dxa" w:w="70"/>
              <w:left w:type="dxa" w:w="130"/>
              <w:bottom w:type="dxa" w:w="70"/>
              <w:right w:type="dxa" w:w="130"/>
            </w:tcMar>
          </w:tcPr>
          <w:p>
            <w:r>
              <w:rPr>
                <w:b/>
                <w:bCs/>
                <w:sz w:val="18"/>
                <w:szCs w:val="18"/>
              </w:rPr>
              <w:t xml:space="preserve">Say it exactly like this</w:t>
            </w:r>
          </w:p>
        </w:tc>
        <w:tc>
          <w:tcPr>
            <w:tcMar>
              <w:top w:type="dxa" w:w="70"/>
              <w:left w:type="dxa" w:w="130"/>
              <w:bottom w:type="dxa" w:w="70"/>
              <w:right w:type="dxa" w:w="130"/>
            </w:tcMar>
          </w:tcPr>
          <w:p>
            <w:r>
              <w:rPr>
                <w:sz w:val="18"/>
                <w:szCs w:val="18"/>
              </w:rPr>
              <w:t xml:space="preserve">assume conversion at the start of the period · add back the after-tax interest · rank securities by incremental earnings per share · exclude an antidilutive security · convert preferred stock into common · adjust both the numerator and the denominator</w:t>
            </w:r>
          </w:p>
        </w:tc>
      </w:tr>
      <w:tr>
        <w:tc>
          <w:tcPr>
            <w:shd w:fill="F5F7FC" w:val="clear"/>
            <w:tcMar>
              <w:top w:type="dxa" w:w="70"/>
              <w:left w:type="dxa" w:w="130"/>
              <w:bottom w:type="dxa" w:w="70"/>
              <w:right w:type="dxa" w:w="130"/>
            </w:tcMar>
          </w:tcPr>
          <w:p>
            <w:r>
              <w:rPr>
                <w:b/>
                <w:bCs/>
                <w:sz w:val="18"/>
                <w:szCs w:val="18"/>
              </w:rPr>
              <w:t xml:space="preserve">Words that are not the same</w:t>
            </w:r>
          </w:p>
        </w:tc>
        <w:tc>
          <w:tcPr>
            <w:tcMar>
              <w:top w:type="dxa" w:w="70"/>
              <w:left w:type="dxa" w:w="130"/>
              <w:bottom w:type="dxa" w:w="70"/>
              <w:right w:type="dxa" w:w="130"/>
            </w:tcMar>
          </w:tcPr>
          <w:p>
            <w:r>
              <w:rPr>
                <w:sz w:val="18"/>
                <w:szCs w:val="18"/>
              </w:rPr>
              <w:t xml:space="preserve">treasury stock method / if-converted method · dilutive / antidilutive · incremental EPS / basic EPS · convertible bond / convertible preferred</w:t>
            </w:r>
          </w:p>
        </w:tc>
      </w:tr>
      <w:tr>
        <w:tc>
          <w:tcPr>
            <w:shd w:fill="F5F7FC" w:val="clear"/>
            <w:tcMar>
              <w:top w:type="dxa" w:w="70"/>
              <w:left w:type="dxa" w:w="130"/>
              <w:bottom w:type="dxa" w:w="70"/>
              <w:right w:type="dxa" w:w="130"/>
            </w:tcMar>
          </w:tcPr>
          <w:p>
            <w:r>
              <w:rPr>
                <w:b/>
                <w:bCs/>
                <w:sz w:val="18"/>
                <w:szCs w:val="18"/>
              </w:rPr>
              <w:t xml:space="preserve">Remember</w:t>
            </w:r>
          </w:p>
        </w:tc>
        <w:tc>
          <w:tcPr>
            <w:tcMar>
              <w:top w:type="dxa" w:w="70"/>
              <w:left w:type="dxa" w:w="130"/>
              <w:bottom w:type="dxa" w:w="70"/>
              <w:right w:type="dxa" w:w="130"/>
            </w:tcMar>
          </w:tcPr>
          <w:p>
            <w:r>
              <w:rPr>
                <w:sz w:val="18"/>
                <w:szCs w:val="18"/>
              </w:rPr>
              <w:t xml:space="preserve">Adding back the interest is not optional. If the bond had converted there would have been no interest, so the numerator must be restated too.  Antidilutive does not mean unimportant. It means including the security would raise earnings per share, which the measure forbids.</w:t>
            </w:r>
          </w:p>
        </w:tc>
      </w:tr>
    </w:tbl>
    <w:p/>
    <w:p>
      <w:pPr>
        <w:spacing w:after="40" w:before="130"/>
      </w:pPr>
      <w:r>
        <w:rPr>
          <w:b/>
          <w:bCs/>
          <w:color w:val="23265A"/>
          <w:sz w:val="24"/>
          <w:szCs w:val="24"/>
        </w:rPr>
        <w:t xml:space="preserve">What you will be able to do when this handout is finished</w:t>
      </w:r>
    </w:p>
    <w:p>
      <w:pPr>
        <w:pStyle w:val="ListParagraph"/>
        <w:numPr>
          <w:ilvl w:val="0"/>
          <w:numId w:val="1"/>
        </w:numPr>
        <w:spacing w:after="24"/>
      </w:pPr>
      <w:r>
        <w:rPr>
          <w:sz w:val="20"/>
          <w:szCs w:val="20"/>
        </w:rPr>
        <w:t xml:space="preserve">Apply the if-converted method to a convertible bond.</w:t>
      </w:r>
    </w:p>
    <w:p>
      <w:pPr>
        <w:pStyle w:val="ListParagraph"/>
        <w:numPr>
          <w:ilvl w:val="0"/>
          <w:numId w:val="1"/>
        </w:numPr>
        <w:spacing w:after="24"/>
      </w:pPr>
      <w:r>
        <w:rPr>
          <w:sz w:val="20"/>
          <w:szCs w:val="20"/>
        </w:rPr>
        <w:t xml:space="preserve">Say why the numerator changes and by how much.</w:t>
      </w:r>
    </w:p>
    <w:p>
      <w:pPr>
        <w:pStyle w:val="ListParagraph"/>
        <w:numPr>
          <w:ilvl w:val="0"/>
          <w:numId w:val="1"/>
        </w:numPr>
        <w:spacing w:after="24"/>
      </w:pPr>
      <w:r>
        <w:rPr>
          <w:sz w:val="20"/>
          <w:szCs w:val="20"/>
        </w:rPr>
        <w:t xml:space="preserve">Compute incremental earnings per share for a security.</w:t>
      </w:r>
    </w:p>
    <w:p>
      <w:pPr>
        <w:pStyle w:val="ListParagraph"/>
        <w:numPr>
          <w:ilvl w:val="0"/>
          <w:numId w:val="1"/>
        </w:numPr>
        <w:spacing w:after="24"/>
      </w:pPr>
      <w:r>
        <w:rPr>
          <w:sz w:val="20"/>
          <w:szCs w:val="20"/>
        </w:rPr>
        <w:t xml:space="preserve">Decide whether a security is dilutive or antidilutive.</w:t>
      </w:r>
    </w:p>
    <w:p>
      <w:pPr>
        <w:pStyle w:val="ListParagraph"/>
        <w:numPr>
          <w:ilvl w:val="0"/>
          <w:numId w:val="1"/>
        </w:numPr>
        <w:spacing w:after="24"/>
      </w:pPr>
      <w:r>
        <w:rPr>
          <w:sz w:val="20"/>
          <w:szCs w:val="20"/>
        </w:rPr>
        <w:t xml:space="preserve">Compute diluted earnings per share with several securities.</w:t>
      </w:r>
    </w:p>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5F7FC" w:val="clear"/>
            <w:tcMar>
              <w:top w:type="dxa" w:w="140"/>
              <w:left w:type="dxa" w:w="200"/>
              <w:bottom w:type="dxa" w:w="140"/>
              <w:right w:type="dxa" w:w="200"/>
            </w:tcMar>
          </w:tcPr>
          <w:p>
            <w:pPr>
              <w:spacing w:after="60"/>
            </w:pPr>
            <w:r>
              <w:rPr>
                <w:b/>
                <w:bCs/>
                <w:color w:val="353A7C"/>
                <w:sz w:val="21"/>
                <w:szCs w:val="21"/>
              </w:rPr>
              <w:t xml:space="preserve">A bond that could become shares</w:t>
            </w:r>
          </w:p>
          <w:p>
            <w:pPr>
              <w:spacing w:after="80" w:line="290" w:lineRule="auto"/>
            </w:pPr>
            <w:r>
              <w:rPr>
                <w:sz w:val="21"/>
                <w:szCs w:val="21"/>
              </w:rPr>
              <w:t xml:space="preserve">Volume 14 issued a $1,000,000 bond with a 6% coupon. Suppose it is convertible into 40,000 common shares.</w:t>
            </w:r>
          </w:p>
          <w:p>
            <w:pPr>
              <w:spacing w:after="80" w:line="290" w:lineRule="auto"/>
            </w:pPr>
            <w:r>
              <w:rPr>
                <w:sz w:val="21"/>
                <w:szCs w:val="21"/>
              </w:rPr>
              <w:t xml:space="preserve">If the holders convert, Northwind issues 40,000 shares and stops paying interest on the bond. Both halves of earnings per share move.</w:t>
            </w:r>
          </w:p>
          <w:p>
            <w:pPr>
              <w:spacing w:after="80" w:line="290" w:lineRule="auto"/>
            </w:pPr>
            <w:r>
              <w:rPr>
                <w:sz w:val="21"/>
                <w:szCs w:val="21"/>
              </w:rPr>
              <w:t xml:space="preserve">That is the difference from Handout 2. An option brings in cash and changes only the denominator; a convertible brings in nothing and changes both.</w:t>
            </w:r>
          </w:p>
          <w:p>
            <w:pPr>
              <w:spacing w:after="80" w:line="290" w:lineRule="auto"/>
            </w:pPr>
            <w:r>
              <w:rPr>
                <w:sz w:val="21"/>
                <w:szCs w:val="21"/>
              </w:rPr>
              <w:t xml:space="preserve">And a third security, a convertible preferred, would raise the figure rather than lower it. This handout explains why it is left out.</w:t>
            </w:r>
          </w:p>
        </w:tc>
      </w:tr>
    </w:tbl>
    <w:p/>
    <w:p>
      <w:pPr>
        <w:spacing w:after="40" w:before="90"/>
        <w:jc w:val="center"/>
      </w:pPr>
      <w:r>
        <w:drawing>
          <wp:inline distT="0" distB="0" distL="0" distR="0">
            <wp:extent cx="5734050" cy="256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5734050" cy="2561200"/>
                    </a:xfrm>
                    <a:prstGeom prst="rect">
                      <a:avLst/>
                    </a:prstGeom>
                  </pic:spPr>
                </pic:pic>
              </a:graphicData>
            </a:graphic>
          </wp:inline>
        </w:drawing>
      </w:r>
    </w:p>
    <w:p>
      <w:pPr>
        <w:shd w:fill="353A7C" w:val="clear"/>
        <w:spacing w:after="80" w:before="230"/>
      </w:pPr>
      <w:r>
        <w:rPr>
          <w:b/>
          <w:bCs/>
          <w:color w:val="FFFFFF"/>
          <w:sz w:val="26"/>
          <w:szCs w:val="26"/>
        </w:rPr>
        <w:t xml:space="preserve">  Part 1 · Why the numerator moves</w:t>
      </w:r>
      <w:r>
        <w:rPr>
          <w:b/>
          <w:bCs/>
          <w:color w:val="FFFFFF"/>
          <w:sz w:val="16"/>
          <w:szCs w:val="16"/>
        </w:rPr>
        <w:t xml:space="preserve">    the interest that would not have been paid</w:t>
      </w:r>
    </w:p>
    <w:p>
      <w:pPr>
        <w:spacing w:before="230" w:after="80"/>
        <w:pBdr>
          <w:top w:val="single" w:sz="12" w:space="7" w:color="353A7C"/>
        </w:pBdr>
      </w:pPr>
      <w:r>
        <w:rPr>
          <w:b/>
          <w:bCs/>
          <w:color w:val="353A7C"/>
          <w:sz w:val="22"/>
          <w:szCs w:val="22"/>
        </w:rPr>
        <w:t xml:space="preserve">Exercise 3A   </w:t>
      </w:r>
      <w:r>
        <w:rPr>
          <w:b/>
          <w:bCs/>
          <w:sz w:val="21"/>
          <w:szCs w:val="21"/>
        </w:rPr>
        <w:t xml:space="preserve">Read and complete. Write one word or figure in each space.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Say why assuming conversion changes the numerator as well as the denominator.</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Handout 2 Exercise 2C, on the treasury stock method. · Volume 14 Handout 3, for the bond’s year one interest.</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If the bond had converted on the first day of the year, ask whether Northwind would have paid any interest on it.</w:t>
            </w:r>
          </w:p>
          <w:p>
            <w:pPr>
              <w:spacing w:after="30"/>
            </w:pPr>
            <w:r>
              <w:rPr>
                <w:color w:val="353A7C"/>
                <w:sz w:val="18"/>
                <w:szCs w:val="18"/>
              </w:rPr>
              <w:t xml:space="preserve">•  </w:t>
            </w:r>
            <w:r>
              <w:rPr>
                <w:sz w:val="18"/>
                <w:szCs w:val="18"/>
              </w:rPr>
              <w:t xml:space="preserve">Volume 14 charged $73,612 of interest on that bond in year one.</w:t>
            </w:r>
          </w:p>
          <w:p>
            <w:pPr>
              <w:spacing w:after="30"/>
            </w:pPr>
            <w:r>
              <w:rPr>
                <w:color w:val="353A7C"/>
                <w:sz w:val="18"/>
                <w:szCs w:val="18"/>
              </w:rPr>
              <w:t xml:space="preserve">•  </w:t>
            </w:r>
            <w:r>
              <w:rPr>
                <w:sz w:val="18"/>
                <w:szCs w:val="18"/>
              </w:rPr>
              <w:t xml:space="preserve">The last blank is why the full $73,612 is not added back, and the answer involves the tax.</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dividends</w:t>
            </w:r>
            <w:r>
              <w:rPr>
                <w:b/>
                <w:bCs/>
                <w:color w:val="8186EF"/>
                <w:sz w:val="20"/>
                <w:szCs w:val="20"/>
              </w:rPr>
              <w:t xml:space="preserve">   ·   </w:t>
            </w:r>
            <w:r>
              <w:rPr>
                <w:b/>
                <w:bCs/>
                <w:sz w:val="20"/>
                <w:szCs w:val="20"/>
              </w:rPr>
              <w:t xml:space="preserve">if-converted</w:t>
            </w:r>
            <w:r>
              <w:rPr>
                <w:b/>
                <w:bCs/>
                <w:color w:val="8186EF"/>
                <w:sz w:val="20"/>
                <w:szCs w:val="20"/>
              </w:rPr>
              <w:t xml:space="preserve">   ·   </w:t>
            </w:r>
            <w:r>
              <w:rPr>
                <w:b/>
                <w:bCs/>
                <w:sz w:val="20"/>
                <w:szCs w:val="20"/>
              </w:rPr>
              <w:t xml:space="preserve">increased</w:t>
            </w:r>
            <w:r>
              <w:rPr>
                <w:b/>
                <w:bCs/>
                <w:color w:val="8186EF"/>
                <w:sz w:val="20"/>
                <w:szCs w:val="20"/>
              </w:rPr>
              <w:t xml:space="preserve">   ·   </w:t>
            </w:r>
            <w:r>
              <w:rPr>
                <w:b/>
                <w:bCs/>
                <w:sz w:val="20"/>
                <w:szCs w:val="20"/>
              </w:rPr>
              <w:t xml:space="preserve">interest</w:t>
            </w:r>
            <w:r>
              <w:rPr>
                <w:b/>
                <w:bCs/>
                <w:color w:val="8186EF"/>
                <w:sz w:val="20"/>
                <w:szCs w:val="20"/>
              </w:rPr>
              <w:t xml:space="preserve">   ·   </w:t>
            </w:r>
            <w:r>
              <w:rPr>
                <w:b/>
                <w:bCs/>
                <w:sz w:val="20"/>
                <w:szCs w:val="20"/>
              </w:rPr>
              <w:t xml:space="preserve">reduced</w:t>
            </w:r>
            <w:r>
              <w:rPr>
                <w:b/>
                <w:bCs/>
                <w:color w:val="8186EF"/>
                <w:sz w:val="20"/>
                <w:szCs w:val="20"/>
              </w:rPr>
              <w:t xml:space="preserve">   ·   </w:t>
            </w:r>
            <w:r>
              <w:rPr>
                <w:b/>
                <w:bCs/>
                <w:sz w:val="20"/>
                <w:szCs w:val="20"/>
              </w:rPr>
              <w:t xml:space="preserve">tax</w:t>
            </w:r>
            <w:r>
              <w:rPr>
                <w:b/>
                <w:bCs/>
                <w:color w:val="8186EF"/>
                <w:sz w:val="20"/>
                <w:szCs w:val="20"/>
              </w:rPr>
              <w:t xml:space="preserve">   ·   </w:t>
            </w:r>
            <w:r>
              <w:rPr>
                <w:b/>
                <w:bCs/>
                <w:sz w:val="20"/>
                <w:szCs w:val="20"/>
              </w:rPr>
              <w:t xml:space="preserve">treasury</w:t>
            </w:r>
          </w:p>
          <w:p>
            <w:r>
              <w:rPr>
                <w:color w:val="6B7280"/>
                <w:sz w:val="17"/>
                <w:szCs w:val="17"/>
              </w:rPr>
              <w:t xml:space="preserve">Not every word is used.</w:t>
            </w:r>
          </w:p>
        </w:tc>
      </w:tr>
    </w:tbl>
    <w:p/>
    <w:p>
      <w:pPr>
        <w:spacing w:before="40" w:after="110" w:line="300" w:lineRule="auto"/>
      </w:pPr>
      <w:r>
        <w:rPr>
          <w:b/>
          <w:color w:val="2B6CB0"/>
          <w:sz w:val="13"/>
        </w:rPr>
        <w:t xml:space="preserve">R2  </w:t>
      </w:r>
      <w:r>
        <w:rPr>
          <w:sz w:val="21"/>
          <w:szCs w:val="21"/>
        </w:rPr>
        <w:t xml:space="preserve">The method assumes the bond converted on the first day of the period. If it had, Northwind would have issued 40,000 shares, and it would also have paid no </w:t>
      </w:r>
      <w:r>
        <w:rPr>
          <w:vertAlign w:val="superscript"/>
          <w:color w:val="353A7C"/>
          <w:b/>
          <w:sz w:val="16"/>
        </w:rPr>
        <w:t>1</w:t>
      </w:r>
      <w:r>
        <w:rPr>
          <w:u w:val="single"/>
          <w:sz w:val="21"/>
          <w:szCs w:val="21"/>
        </w:rPr>
        <w:t xml:space="preserve">               </w:t>
      </w:r>
      <w:r>
        <w:rPr>
          <w:sz w:val="21"/>
          <w:szCs w:val="21"/>
        </w:rPr>
        <w:t xml:space="preserve"> on the bond at all.</w:t>
      </w:r>
    </w:p>
    <w:p>
      <w:pPr>
        <w:spacing w:before="40" w:after="110" w:line="300" w:lineRule="auto"/>
      </w:pPr>
      <w:r>
        <w:rPr>
          <w:sz w:val="21"/>
          <w:szCs w:val="21"/>
        </w:rPr>
        <w:t xml:space="preserve">So the $73,612 Volume 14 charged would not have been incurred, and profit would have been higher. The numerator is </w:t>
      </w:r>
      <w:r>
        <w:rPr>
          <w:vertAlign w:val="superscript"/>
          <w:color w:val="353A7C"/>
          <w:b/>
          <w:sz w:val="16"/>
        </w:rPr>
        <w:t>2</w:t>
      </w:r>
      <w:r>
        <w:rPr>
          <w:u w:val="single"/>
          <w:sz w:val="21"/>
          <w:szCs w:val="21"/>
        </w:rPr>
        <w:t xml:space="preserve">                </w:t>
      </w:r>
      <w:r>
        <w:rPr>
          <w:sz w:val="21"/>
          <w:szCs w:val="21"/>
        </w:rPr>
        <w:t xml:space="preserve"> to reflect that.</w:t>
      </w:r>
    </w:p>
    <w:p>
      <w:pPr>
        <w:spacing w:before="40" w:after="110" w:line="300" w:lineRule="auto"/>
      </w:pPr>
      <w:r>
        <w:rPr>
          <w:sz w:val="21"/>
          <w:szCs w:val="21"/>
        </w:rPr>
        <w:t xml:space="preserve">Not by the whole $73,612, though. Interest is deductible, so saving it would also have cost $18,403 in extra </w:t>
      </w:r>
      <w:r>
        <w:rPr>
          <w:vertAlign w:val="superscript"/>
          <w:color w:val="353A7C"/>
          <w:b/>
          <w:sz w:val="16"/>
        </w:rPr>
        <w:t>3</w:t>
      </w:r>
      <w:r>
        <w:rPr>
          <w:u w:val="single"/>
          <w:sz w:val="21"/>
          <w:szCs w:val="21"/>
        </w:rPr>
        <w:t xml:space="preserve">         </w:t>
      </w:r>
      <w:r>
        <w:rPr>
          <w:sz w:val="21"/>
          <w:szCs w:val="21"/>
        </w:rPr>
        <w:t xml:space="preserve">, and only the net $55,209 is added back.</w:t>
      </w:r>
    </w:p>
    <w:p>
      <w:pPr>
        <w:spacing w:before="40" w:after="110" w:line="300" w:lineRule="auto"/>
      </w:pPr>
      <w:r>
        <w:rPr>
          <w:sz w:val="21"/>
          <w:szCs w:val="21"/>
        </w:rPr>
        <w:t xml:space="preserve">The denominator rises by 40,000. Both halves of the fraction move, which is the whole difference between this method and the </w:t>
      </w:r>
      <w:r>
        <w:rPr>
          <w:vertAlign w:val="superscript"/>
          <w:color w:val="353A7C"/>
          <w:b/>
          <w:sz w:val="16"/>
        </w:rPr>
        <w:t>4</w:t>
      </w:r>
      <w:r>
        <w:rPr>
          <w:u w:val="single"/>
          <w:sz w:val="21"/>
          <w:szCs w:val="21"/>
        </w:rPr>
        <w:t xml:space="preserve">               </w:t>
      </w:r>
      <w:r>
        <w:rPr>
          <w:sz w:val="21"/>
          <w:szCs w:val="21"/>
        </w:rPr>
        <w:t xml:space="preserve"> stock method of Handout 2.</w:t>
      </w:r>
    </w:p>
    <w:p>
      <w:pPr>
        <w:spacing w:after="40" w:before="90"/>
        <w:jc w:val="center"/>
      </w:pPr>
      <w:r>
        <w:drawing>
          <wp:inline distT="0" distB="0" distL="0" distR="0">
            <wp:extent cx="5734050" cy="201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5734050" cy="2013300"/>
                    </a:xfrm>
                    <a:prstGeom prst="rect">
                      <a:avLst/>
                    </a:prstGeom>
                  </pic:spPr>
                </pic:pic>
              </a:graphicData>
            </a:graphic>
          </wp:inline>
        </w:drawing>
      </w:r>
    </w:p>
    <w:p>
      <w:pPr>
        <w:shd w:fill="353A7C" w:val="clear"/>
        <w:spacing w:after="80" w:before="230"/>
      </w:pPr>
      <w:r>
        <w:rPr>
          <w:b/>
          <w:bCs/>
          <w:color w:val="FFFFFF"/>
          <w:sz w:val="26"/>
          <w:szCs w:val="26"/>
        </w:rPr>
        <w:t xml:space="preserve">  Part 2 · The test for dilution</w:t>
      </w:r>
      <w:r>
        <w:rPr>
          <w:b/>
          <w:bCs/>
          <w:color w:val="FFFFFF"/>
          <w:sz w:val="16"/>
          <w:szCs w:val="16"/>
        </w:rPr>
        <w:t xml:space="preserve">    incremental earnings per share</w:t>
      </w:r>
    </w:p>
    <w:p>
      <w:pPr>
        <w:spacing w:before="40" w:after="110" w:line="300" w:lineRule="auto"/>
      </w:pPr>
      <w:r>
        <w:rPr>
          <w:b/>
          <w:color w:val="2B6CB0"/>
          <w:sz w:val="13"/>
        </w:rPr>
        <w:t xml:space="preserve">R2  </w:t>
      </w:r>
      <w:r>
        <w:rPr>
          <w:sz w:val="21"/>
          <w:szCs w:val="21"/>
        </w:rPr>
        <w:t xml:space="preserve">Each security is tested on its own before it is let in. Its numerator adjustment is divided by the shares it would add, and the result is compared with basic earnings per share. Below is dilutive; above is not.</w:t>
      </w:r>
    </w:p>
    <w:p>
      <w:pPr>
        <w:spacing w:before="230" w:after="80"/>
        <w:pBdr>
          <w:top w:val="single" w:sz="12" w:space="7" w:color="353A7C"/>
        </w:pBdr>
      </w:pPr>
      <w:r>
        <w:rPr>
          <w:b/>
          <w:bCs/>
          <w:color w:val="353A7C"/>
          <w:sz w:val="22"/>
          <w:szCs w:val="22"/>
        </w:rPr>
        <w:t xml:space="preserve">Exercise 3B   </w:t>
      </w:r>
      <w:r>
        <w:rPr>
          <w:b/>
          <w:bCs/>
          <w:sz w:val="21"/>
          <w:szCs w:val="21"/>
        </w:rPr>
        <w:t xml:space="preserve">Complete the schedule. Two figures are given.</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Compute the incremental earnings per share of the convertible bond.</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3A, and the paragraph above.</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The numerator adjustment is the $73,612 of interest net of 25% tax.</w:t>
            </w:r>
          </w:p>
          <w:p>
            <w:pPr>
              <w:spacing w:after="30"/>
            </w:pPr>
            <w:r>
              <w:rPr>
                <w:color w:val="353A7C"/>
                <w:sz w:val="18"/>
                <w:szCs w:val="18"/>
              </w:rPr>
              <w:t xml:space="preserve">•  </w:t>
            </w:r>
            <w:r>
              <w:rPr>
                <w:sz w:val="18"/>
                <w:szCs w:val="18"/>
              </w:rPr>
              <w:t xml:space="preserve">Divide that by the 40,000 shares the conversion would create.</w:t>
            </w:r>
          </w:p>
          <w:p>
            <w:pPr>
              <w:spacing w:after="30"/>
            </w:pPr>
            <w:r>
              <w:rPr>
                <w:color w:val="353A7C"/>
                <w:sz w:val="18"/>
                <w:szCs w:val="18"/>
              </w:rPr>
              <w:t xml:space="preserve">•  </w:t>
            </w:r>
            <w:r>
              <w:rPr>
                <w:sz w:val="18"/>
                <w:szCs w:val="18"/>
              </w:rPr>
              <w:t xml:space="preserve">Compare the answer with the basic $1.75. Below it means the security dilutes.</w:t>
            </w:r>
          </w:p>
        </w:tc>
      </w:tr>
    </w:tbl>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68"/>
        <w:gridCol w:w="32"/>
      </w:tblGrid>
      <w:tr>
        <w:tc>
          <w:tcPr>
            <w:shd w:fill="A05A2B" w:val="clear"/>
            <w:tcMar>
              <w:top w:type="dxa" w:w="60"/>
              <w:left w:type="dxa" w:w="120"/>
              <w:bottom w:type="dxa" w:w="60"/>
              <w:right w:type="dxa" w:w="120"/>
            </w:tcMar>
          </w:tcPr>
          <w:p>
            <w:r>
              <w:rPr>
                <w:b/>
                <w:bCs/>
                <w:color w:val="FFFFFF"/>
                <w:sz w:val="19"/>
                <w:szCs w:val="19"/>
              </w:rPr>
              <w:t xml:space="preserve">The if-converted method</w:t>
            </w:r>
          </w:p>
        </w:tc>
        <w:tc>
          <w:tcPr>
            <w:shd w:fill="A05A2B" w:val="clear"/>
            <w:tcMar>
              <w:top w:type="dxa" w:w="60"/>
              <w:left w:type="dxa" w:w="120"/>
              <w:bottom w:type="dxa" w:w="60"/>
              <w:right w:type="dxa" w:w="120"/>
            </w:tcMar>
          </w:tcPr>
          <w:p>
            <w:r>
              <w:rPr>
                <w:b/>
                <w:bCs/>
                <w:color w:val="FFFFFF"/>
                <w:sz w:val="19"/>
                <w:szCs w:val="19"/>
              </w:rPr>
              <w:t xml:space="preserve">Amount</w:t>
            </w:r>
          </w:p>
        </w:tc>
      </w:tr>
      <w:tr>
        <w:tc>
          <w:tcPr>
            <w:tcMar>
              <w:top w:type="dxa" w:w="60"/>
              <w:left w:type="dxa" w:w="120"/>
              <w:bottom w:type="dxa" w:w="60"/>
              <w:right w:type="dxa" w:w="120"/>
            </w:tcMar>
          </w:tcPr>
          <w:p>
            <w:r>
              <w:rPr>
                <w:sz w:val="19"/>
                <w:szCs w:val="19"/>
              </w:rPr>
              <w:t xml:space="preserve">Interest on the convertible bond for the year</w:t>
            </w:r>
          </w:p>
        </w:tc>
        <w:tc>
          <w:tcPr>
            <w:tcMar>
              <w:top w:type="dxa" w:w="60"/>
              <w:left w:type="dxa" w:w="120"/>
              <w:bottom w:type="dxa" w:w="60"/>
              <w:right w:type="dxa" w:w="120"/>
            </w:tcMar>
          </w:tcPr>
          <w:p>
            <w:r>
              <w:rPr>
                <w:sz w:val="19"/>
                <w:szCs w:val="19"/>
              </w:rPr>
              <w:t xml:space="preserve">$73,612</w:t>
            </w:r>
          </w:p>
        </w:tc>
      </w:tr>
      <w:tr>
        <w:tc>
          <w:tcPr>
            <w:tcMar>
              <w:top w:type="dxa" w:w="60"/>
              <w:left w:type="dxa" w:w="120"/>
              <w:bottom w:type="dxa" w:w="60"/>
              <w:right w:type="dxa" w:w="120"/>
            </w:tcMar>
          </w:tcPr>
          <w:p>
            <w:r>
              <w:rPr>
                <w:sz w:val="19"/>
                <w:szCs w:val="19"/>
              </w:rPr>
              <w:t xml:space="preserve">Less tax relief at 25%</w:t>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Added back to the numerator</w:t>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Shares issuable on conversion</w:t>
            </w:r>
          </w:p>
        </w:tc>
        <w:tc>
          <w:tcPr>
            <w:tcMar>
              <w:top w:type="dxa" w:w="60"/>
              <w:left w:type="dxa" w:w="120"/>
              <w:bottom w:type="dxa" w:w="60"/>
              <w:right w:type="dxa" w:w="120"/>
            </w:tcMar>
          </w:tcPr>
          <w:p>
            <w:r>
              <w:rPr>
                <w:sz w:val="19"/>
                <w:szCs w:val="19"/>
              </w:rPr>
              <w:t xml:space="preserve">40,000</w:t>
            </w:r>
          </w:p>
        </w:tc>
      </w:tr>
      <w:tr>
        <w:tc>
          <w:tcPr>
            <w:tcMar>
              <w:top w:type="dxa" w:w="60"/>
              <w:left w:type="dxa" w:w="120"/>
              <w:bottom w:type="dxa" w:w="60"/>
              <w:right w:type="dxa" w:w="120"/>
            </w:tcMar>
          </w:tcPr>
          <w:p>
            <w:r>
              <w:rPr>
                <w:sz w:val="19"/>
                <w:szCs w:val="19"/>
              </w:rPr>
              <w:t xml:space="preserve">Incremental earnings per share</w:t>
            </w:r>
          </w:p>
        </w:tc>
        <w:tc>
          <w:tcPr>
            <w:tcMar>
              <w:top w:type="dxa" w:w="60"/>
              <w:left w:type="dxa" w:w="120"/>
              <w:bottom w:type="dxa" w:w="60"/>
              <w:right w:type="dxa" w:w="120"/>
            </w:tcMar>
          </w:tcPr>
          <w:p>
            <w:r>
              <w:rPr>
                <w:sz w:val="19"/>
                <w:szCs w:val="19"/>
              </w:rPr>
              <w:t xml:space="preserve"/>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16"/>
        <w:gridCol w:w="16"/>
        <w:gridCol w:w="16"/>
        <w:gridCol w:w="16"/>
        <w:gridCol w:w="16"/>
        <w:gridCol w:w="16"/>
      </w:tblGrid>
      <w:tr>
        <w:tc>
          <w:tcPr>
            <w:tcMar>
              <w:top w:type="dxa" w:w="60"/>
              <w:left w:type="dxa" w:w="120"/>
              <w:bottom w:type="dxa" w:w="60"/>
              <w:right w:type="dxa" w:w="120"/>
            </w:tcMar>
          </w:tcPr>
          <w:p>
            <w:r>
              <w:rPr>
                <w:b/>
                <w:bCs/>
                <w:color w:val="353A7C"/>
                <w:sz w:val="15"/>
                <w:szCs w:val="15"/>
              </w:rPr>
              <w:t xml:space="preserve">1</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2</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3</w:t>
            </w:r>
          </w:p>
          <w:p>
            <w:r>
              <w:rPr>
                <w:sz w:val="24"/>
                <w:szCs w:val="24"/>
              </w:rPr>
              <w:t xml:space="preserve"> </w:t>
            </w:r>
          </w:p>
        </w:tc>
      </w:tr>
    </w:tbl>
    <w:p/>
    <w:p>
      <w:pPr>
        <w:spacing w:after="40" w:before="90"/>
        <w:jc w:val="center"/>
      </w:pPr>
      <w:r>
        <w:drawing>
          <wp:inline distT="0" distB="0" distL="0" distR="0">
            <wp:extent cx="5734050" cy="200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5734050" cy="2000550"/>
                    </a:xfrm>
                    <a:prstGeom prst="rect">
                      <a:avLst/>
                    </a:prstGeom>
                  </pic:spPr>
                </pic:pic>
              </a:graphicData>
            </a:graphic>
          </wp:inline>
        </w:drawing>
      </w:r>
    </w:p>
    <w:p>
      <w:pPr>
        <w:shd w:fill="353A7C" w:val="clear"/>
        <w:spacing w:after="80" w:before="230"/>
      </w:pPr>
      <w:r>
        <w:rPr>
          <w:b/>
          <w:bCs/>
          <w:color w:val="FFFFFF"/>
          <w:sz w:val="26"/>
          <w:szCs w:val="26"/>
        </w:rPr>
        <w:t xml:space="preserve">  Part 3 · The security that stays out</w:t>
      </w:r>
      <w:r>
        <w:rPr>
          <w:b/>
          <w:bCs/>
          <w:color w:val="FFFFFF"/>
          <w:sz w:val="16"/>
          <w:szCs w:val="16"/>
        </w:rPr>
        <w:t xml:space="preserve">    antidilution</w:t>
      </w:r>
    </w:p>
    <w:p>
      <w:pPr>
        <w:spacing w:before="230" w:after="80"/>
        <w:pBdr>
          <w:top w:val="single" w:sz="12" w:space="7" w:color="353A7C"/>
        </w:pBdr>
      </w:pPr>
      <w:r>
        <w:rPr>
          <w:b/>
          <w:bCs/>
          <w:color w:val="353A7C"/>
          <w:sz w:val="22"/>
          <w:szCs w:val="22"/>
        </w:rPr>
        <w:t xml:space="preserve">Exercise 3C   </w:t>
      </w:r>
      <w:r>
        <w:rPr>
          <w:b/>
          <w:bCs/>
          <w:sz w:val="21"/>
          <w:szCs w:val="21"/>
        </w:rPr>
        <w:t xml:space="preserve">Complete the grid, then say which one is excluded.</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Decide which securities belong in the diluted figure.</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3B, and Handout 2 Exercise 2C.</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The options add no income at all, so their incremental figure is nil and nothing can be lower than that.</w:t>
            </w:r>
          </w:p>
          <w:p>
            <w:pPr>
              <w:spacing w:after="30"/>
            </w:pPr>
            <w:r>
              <w:rPr>
                <w:color w:val="353A7C"/>
                <w:sz w:val="18"/>
                <w:szCs w:val="18"/>
              </w:rPr>
              <w:t xml:space="preserve">•  </w:t>
            </w:r>
            <w:r>
              <w:rPr>
                <w:sz w:val="18"/>
                <w:szCs w:val="18"/>
              </w:rPr>
              <w:t xml:space="preserve">The convertible preferred requires a $90,000 dividend and would issue 20,000 shares.</w:t>
            </w:r>
          </w:p>
          <w:p>
            <w:pPr>
              <w:spacing w:after="30"/>
            </w:pPr>
            <w:r>
              <w:rPr>
                <w:color w:val="353A7C"/>
                <w:sz w:val="18"/>
                <w:szCs w:val="18"/>
              </w:rPr>
              <w:t xml:space="preserve">•  </w:t>
            </w:r>
            <w:r>
              <w:rPr>
                <w:sz w:val="18"/>
                <w:szCs w:val="18"/>
              </w:rPr>
              <w:t xml:space="preserve">Compare each incremental figure with the basic $1.75, and remember that preferred dividends carry no tax relief.</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above</w:t>
            </w:r>
            <w:r>
              <w:rPr>
                <w:b/>
                <w:bCs/>
                <w:color w:val="8186EF"/>
                <w:sz w:val="20"/>
                <w:szCs w:val="20"/>
              </w:rPr>
              <w:t xml:space="preserve">   ·   </w:t>
            </w:r>
            <w:r>
              <w:rPr>
                <w:b/>
                <w:bCs/>
                <w:sz w:val="20"/>
                <w:szCs w:val="20"/>
              </w:rPr>
              <w:t xml:space="preserve">antidilutive</w:t>
            </w:r>
            <w:r>
              <w:rPr>
                <w:b/>
                <w:bCs/>
                <w:color w:val="8186EF"/>
                <w:sz w:val="20"/>
                <w:szCs w:val="20"/>
              </w:rPr>
              <w:t xml:space="preserve">   ·   </w:t>
            </w:r>
            <w:r>
              <w:rPr>
                <w:b/>
                <w:bCs/>
                <w:sz w:val="20"/>
                <w:szCs w:val="20"/>
              </w:rPr>
              <w:t xml:space="preserve">basic</w:t>
            </w:r>
            <w:r>
              <w:rPr>
                <w:b/>
                <w:bCs/>
                <w:color w:val="8186EF"/>
                <w:sz w:val="20"/>
                <w:szCs w:val="20"/>
              </w:rPr>
              <w:t xml:space="preserve">   ·   </w:t>
            </w:r>
            <w:r>
              <w:rPr>
                <w:b/>
                <w:bCs/>
                <w:sz w:val="20"/>
                <w:szCs w:val="20"/>
              </w:rPr>
              <w:t xml:space="preserve">below</w:t>
            </w:r>
            <w:r>
              <w:rPr>
                <w:b/>
                <w:bCs/>
                <w:color w:val="8186EF"/>
                <w:sz w:val="20"/>
                <w:szCs w:val="20"/>
              </w:rPr>
              <w:t xml:space="preserve">   ·   </w:t>
            </w:r>
            <w:r>
              <w:rPr>
                <w:b/>
                <w:bCs/>
                <w:sz w:val="20"/>
                <w:szCs w:val="20"/>
              </w:rPr>
              <w:t xml:space="preserve">diluted</w:t>
            </w:r>
            <w:r>
              <w:rPr>
                <w:b/>
                <w:bCs/>
                <w:color w:val="8186EF"/>
                <w:sz w:val="20"/>
                <w:szCs w:val="20"/>
              </w:rPr>
              <w:t xml:space="preserve">   ·   </w:t>
            </w:r>
            <w:r>
              <w:rPr>
                <w:b/>
                <w:bCs/>
                <w:sz w:val="20"/>
                <w:szCs w:val="20"/>
              </w:rPr>
              <w:t xml:space="preserve">dilutive</w:t>
            </w:r>
            <w:r>
              <w:rPr>
                <w:b/>
                <w:bCs/>
                <w:color w:val="8186EF"/>
                <w:sz w:val="20"/>
                <w:szCs w:val="20"/>
              </w:rPr>
              <w:t xml:space="preserve">   ·   </w:t>
            </w:r>
            <w:r>
              <w:rPr>
                <w:b/>
                <w:bCs/>
                <w:sz w:val="20"/>
                <w:szCs w:val="20"/>
              </w:rPr>
              <w:t xml:space="preserve">excluded</w:t>
            </w:r>
            <w:r>
              <w:rPr>
                <w:b/>
                <w:bCs/>
                <w:color w:val="8186EF"/>
                <w:sz w:val="20"/>
                <w:szCs w:val="20"/>
              </w:rPr>
              <w:t xml:space="preserve">   ·   </w:t>
            </w:r>
            <w:r>
              <w:rPr>
                <w:b/>
                <w:bCs/>
                <w:sz w:val="20"/>
                <w:szCs w:val="20"/>
              </w:rPr>
              <w:t xml:space="preserve">nil</w:t>
            </w:r>
          </w:p>
          <w:p>
            <w:r>
              <w:rPr>
                <w:color w:val="6B7280"/>
                <w:sz w:val="17"/>
                <w:szCs w:val="17"/>
              </w:rPr>
              <w:t xml:space="preserve">Not every word is used.</w:t>
            </w:r>
          </w:p>
        </w:tc>
      </w:tr>
    </w:tbl>
    <w:p/>
    <w:p>
      <w:pPr>
        <w:spacing w:before="40" w:after="110" w:line="300" w:lineRule="auto"/>
      </w:pPr>
      <w:r>
        <w:rPr>
          <w:b/>
          <w:color w:val="6D3F7E"/>
          <w:sz w:val="13"/>
        </w:rPr>
        <w:t xml:space="preserve">R3  </w:t>
      </w:r>
      <w:r>
        <w:rPr>
          <w:sz w:val="21"/>
          <w:szCs w:val="21"/>
        </w:rPr>
        <w:t xml:space="preserve">Each security is tested on its own before it is let in. Divide the income it would add back by the shares it would create, and compare the result with </w:t>
      </w:r>
      <w:r>
        <w:rPr>
          <w:vertAlign w:val="superscript"/>
          <w:color w:val="353A7C"/>
          <w:b/>
          <w:sz w:val="16"/>
        </w:rPr>
        <w:t>5</w:t>
      </w:r>
      <w:r>
        <w:rPr>
          <w:u w:val="single"/>
          <w:sz w:val="21"/>
          <w:szCs w:val="21"/>
        </w:rPr>
        <w:t xml:space="preserve">          </w:t>
      </w:r>
      <w:r>
        <w:rPr>
          <w:sz w:val="21"/>
          <w:szCs w:val="21"/>
        </w:rPr>
        <w:t xml:space="preserve"> earnings per share.</w:t>
      </w:r>
    </w:p>
    <w:p>
      <w:pPr>
        <w:spacing w:before="40" w:after="110" w:line="300" w:lineRule="auto"/>
      </w:pPr>
      <w:r>
        <w:rPr>
          <w:sz w:val="21"/>
          <w:szCs w:val="21"/>
        </w:rPr>
        <w:t xml:space="preserve">The convertible bond adds $55,209 of income and 40,000 shares, giving $1.3802. That is below the basic $1.75, so the bond lowers the figure and is </w:t>
      </w:r>
      <w:r>
        <w:rPr>
          <w:vertAlign w:val="superscript"/>
          <w:color w:val="353A7C"/>
          <w:b/>
          <w:sz w:val="16"/>
        </w:rPr>
        <w:t>6</w:t>
      </w:r>
      <w:r>
        <w:rPr>
          <w:u w:val="single"/>
          <w:sz w:val="21"/>
          <w:szCs w:val="21"/>
        </w:rPr>
        <w:t xml:space="preserve">               </w:t>
      </w:r>
      <w:r>
        <w:rPr>
          <w:sz w:val="21"/>
          <w:szCs w:val="21"/>
        </w:rPr>
        <w:t xml:space="preserve">.</w:t>
      </w:r>
    </w:p>
    <w:p>
      <w:pPr>
        <w:spacing w:before="40" w:after="110" w:line="300" w:lineRule="auto"/>
      </w:pPr>
      <w:r>
        <w:rPr>
          <w:sz w:val="21"/>
          <w:szCs w:val="21"/>
        </w:rPr>
        <w:t xml:space="preserve">The convertible preferred adds $90,000 of dividend and only 20,000 shares, giving $4.50. That is </w:t>
      </w:r>
      <w:r>
        <w:rPr>
          <w:vertAlign w:val="superscript"/>
          <w:color w:val="353A7C"/>
          <w:b/>
          <w:sz w:val="16"/>
        </w:rPr>
        <w:t>7</w:t>
      </w:r>
      <w:r>
        <w:rPr>
          <w:u w:val="single"/>
          <w:sz w:val="21"/>
          <w:szCs w:val="21"/>
        </w:rPr>
        <w:t xml:space="preserve">          </w:t>
      </w:r>
      <w:r>
        <w:rPr>
          <w:sz w:val="21"/>
          <w:szCs w:val="21"/>
        </w:rPr>
        <w:t xml:space="preserve"> the basic figure, so including it would raise earnings per share.</w:t>
      </w:r>
    </w:p>
    <w:p>
      <w:pPr>
        <w:spacing w:before="40" w:after="110" w:line="300" w:lineRule="auto"/>
      </w:pPr>
      <w:r>
        <w:rPr>
          <w:sz w:val="21"/>
          <w:szCs w:val="21"/>
        </w:rPr>
        <w:t xml:space="preserve">A security of that kind is </w:t>
      </w:r>
      <w:r>
        <w:rPr>
          <w:vertAlign w:val="superscript"/>
          <w:color w:val="353A7C"/>
          <w:b/>
          <w:sz w:val="16"/>
        </w:rPr>
        <w:t>8</w:t>
      </w:r>
      <w:r>
        <w:rPr>
          <w:u w:val="single"/>
          <w:sz w:val="21"/>
          <w:szCs w:val="21"/>
        </w:rPr>
        <w:t xml:space="preserve">                     </w:t>
      </w:r>
      <w:r>
        <w:rPr>
          <w:sz w:val="21"/>
          <w:szCs w:val="21"/>
        </w:rPr>
        <w:t xml:space="preserve">. It is excluded from the computation entirely and disclosed instead, so a reader knows it exists without the figure being flattered by it.</w:t>
      </w:r>
    </w:p>
    <w:p>
      <w:pPr>
        <w:spacing w:before="40" w:after="110" w:line="300" w:lineRule="auto"/>
      </w:pPr>
      <w:r>
        <w:rPr>
          <w:sz w:val="21"/>
          <w:szCs w:val="21"/>
        </w:rPr>
        <w:t xml:space="preserve">The options need no such test. They add shares and no income at all, so their incremental figure is </w:t>
      </w:r>
      <w:r>
        <w:rPr>
          <w:vertAlign w:val="superscript"/>
          <w:color w:val="353A7C"/>
          <w:b/>
          <w:sz w:val="16"/>
        </w:rPr>
        <w:t>9</w:t>
      </w:r>
      <w:r>
        <w:rPr>
          <w:u w:val="single"/>
          <w:sz w:val="21"/>
          <w:szCs w:val="21"/>
        </w:rPr>
        <w:t xml:space="preserve">         </w:t>
      </w:r>
      <w:r>
        <w:rPr>
          <w:sz w:val="21"/>
          <w:szCs w:val="21"/>
        </w:rPr>
        <w:t xml:space="preserve"> and nothing can dilute more than that.</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30"/>
        <w:gridCol w:w="24"/>
        <w:gridCol w:w="26"/>
        <w:gridCol w:w="20"/>
      </w:tblGrid>
      <w:tr>
        <w:tc>
          <w:tcPr>
            <w:shd w:fill="44506B" w:val="clear"/>
            <w:tcMar>
              <w:top w:type="dxa" w:w="60"/>
              <w:left w:type="dxa" w:w="120"/>
              <w:bottom w:type="dxa" w:w="60"/>
              <w:right w:type="dxa" w:w="120"/>
            </w:tcMar>
          </w:tcPr>
          <w:p>
            <w:r>
              <w:rPr>
                <w:b/>
                <w:bCs/>
                <w:color w:val="FFFFFF"/>
                <w:sz w:val="19"/>
                <w:szCs w:val="19"/>
              </w:rPr>
              <w:t xml:space="preserve">Security</w:t>
            </w:r>
          </w:p>
        </w:tc>
        <w:tc>
          <w:tcPr>
            <w:shd w:fill="44506B" w:val="clear"/>
            <w:tcMar>
              <w:top w:type="dxa" w:w="60"/>
              <w:left w:type="dxa" w:w="120"/>
              <w:bottom w:type="dxa" w:w="60"/>
              <w:right w:type="dxa" w:w="120"/>
            </w:tcMar>
          </w:tcPr>
          <w:p>
            <w:r>
              <w:rPr>
                <w:b/>
                <w:bCs/>
                <w:color w:val="FFFFFF"/>
                <w:sz w:val="19"/>
                <w:szCs w:val="19"/>
              </w:rPr>
              <w:t xml:space="preserve">Incremental EPS</w:t>
            </w:r>
          </w:p>
        </w:tc>
        <w:tc>
          <w:tcPr>
            <w:shd w:fill="44506B" w:val="clear"/>
            <w:tcMar>
              <w:top w:type="dxa" w:w="60"/>
              <w:left w:type="dxa" w:w="120"/>
              <w:bottom w:type="dxa" w:w="60"/>
              <w:right w:type="dxa" w:w="120"/>
            </w:tcMar>
          </w:tcPr>
          <w:p>
            <w:r>
              <w:rPr>
                <w:b/>
                <w:bCs/>
                <w:color w:val="FFFFFF"/>
                <w:sz w:val="19"/>
                <w:szCs w:val="19"/>
              </w:rPr>
              <w:t xml:space="preserve">Against basic of $1.75</w:t>
            </w:r>
          </w:p>
        </w:tc>
        <w:tc>
          <w:tcPr>
            <w:shd w:fill="44506B" w:val="clear"/>
            <w:tcMar>
              <w:top w:type="dxa" w:w="60"/>
              <w:left w:type="dxa" w:w="120"/>
              <w:bottom w:type="dxa" w:w="60"/>
              <w:right w:type="dxa" w:w="120"/>
            </w:tcMar>
          </w:tcPr>
          <w:p>
            <w:r>
              <w:rPr>
                <w:b/>
                <w:bCs/>
                <w:color w:val="FFFFFF"/>
                <w:sz w:val="19"/>
                <w:szCs w:val="19"/>
              </w:rPr>
              <w:t xml:space="preserve">Included?</w:t>
            </w:r>
          </w:p>
        </w:tc>
      </w:tr>
      <w:tr>
        <w:tc>
          <w:tcPr>
            <w:tcMar>
              <w:top w:type="dxa" w:w="60"/>
              <w:left w:type="dxa" w:w="120"/>
              <w:bottom w:type="dxa" w:w="60"/>
              <w:right w:type="dxa" w:w="120"/>
            </w:tcMar>
          </w:tcPr>
          <w:p>
            <w:r>
              <w:rPr>
                <w:sz w:val="19"/>
                <w:szCs w:val="19"/>
              </w:rPr>
              <w:t xml:space="preserve">Options, 30,000 at $6</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Convertible bond, 40,000 shares</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Convertible preferred, 20,000 shares</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16"/>
        <w:gridCol w:w="16"/>
        <w:gridCol w:w="16"/>
        <w:gridCol w:w="16"/>
        <w:gridCol w:w="16"/>
        <w:gridCol w:w="16"/>
      </w:tblGrid>
      <w:tr>
        <w:tc>
          <w:tcPr>
            <w:tcMar>
              <w:top w:type="dxa" w:w="60"/>
              <w:left w:type="dxa" w:w="120"/>
              <w:bottom w:type="dxa" w:w="60"/>
              <w:right w:type="dxa" w:w="120"/>
            </w:tcMar>
          </w:tcPr>
          <w:p>
            <w:r>
              <w:rPr>
                <w:b/>
                <w:bCs/>
                <w:color w:val="353A7C"/>
                <w:sz w:val="15"/>
                <w:szCs w:val="15"/>
              </w:rPr>
              <w:t xml:space="preserve">1</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2</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3</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4</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5</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6</w:t>
            </w:r>
          </w:p>
          <w:p>
            <w:r>
              <w:rPr>
                <w:sz w:val="24"/>
                <w:szCs w:val="24"/>
              </w:rPr>
              <w:t xml:space="preserve"> </w:t>
            </w:r>
          </w:p>
        </w:tc>
      </w:tr>
      <w:tr>
        <w:tc>
          <w:tcPr>
            <w:tcMar>
              <w:top w:type="dxa" w:w="60"/>
              <w:left w:type="dxa" w:w="120"/>
              <w:bottom w:type="dxa" w:w="60"/>
              <w:right w:type="dxa" w:w="120"/>
            </w:tcMar>
          </w:tcPr>
          <w:p>
            <w:r>
              <w:rPr>
                <w:b/>
                <w:bCs/>
                <w:color w:val="353A7C"/>
                <w:sz w:val="15"/>
                <w:szCs w:val="15"/>
              </w:rPr>
              <w:t xml:space="preserve">7</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8</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9</w:t>
            </w:r>
          </w:p>
          <w:p>
            <w:r>
              <w:rPr>
                <w:sz w:val="24"/>
                <w:szCs w:val="24"/>
              </w:rPr>
              <w:t xml:space="preserve"> </w:t>
            </w:r>
          </w:p>
        </w:tc>
      </w:tr>
    </w:tbl>
    <w:p/>
    <w:p>
      <w:pPr>
        <w:spacing w:after="40" w:before="90"/>
        <w:jc w:val="center"/>
      </w:pPr>
      <w:r>
        <w:drawing>
          <wp:inline distT="0" distB="0" distL="0" distR="0">
            <wp:extent cx="5734050" cy="340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5734050" cy="3402200"/>
                    </a:xfrm>
                    <a:prstGeom prst="rect">
                      <a:avLst/>
                    </a:prstGeom>
                  </pic:spPr>
                </pic:pic>
              </a:graphicData>
            </a:graphic>
          </wp:inline>
        </w:drawing>
      </w:r>
    </w:p>
    <w:p>
      <w:pPr>
        <w:shd w:fill="353A7C" w:val="clear"/>
        <w:spacing w:after="80" w:before="230"/>
      </w:pPr>
      <w:r>
        <w:rPr>
          <w:b/>
          <w:bCs/>
          <w:color w:val="FFFFFF"/>
          <w:sz w:val="26"/>
          <w:szCs w:val="26"/>
        </w:rPr>
        <w:t xml:space="preserve">  Part 4 · The whole computation</w:t>
      </w:r>
      <w:r>
        <w:rPr>
          <w:b/>
          <w:bCs/>
          <w:color w:val="FFFFFF"/>
          <w:sz w:val="16"/>
          <w:szCs w:val="16"/>
        </w:rPr>
        <w:t xml:space="preserve">    two securities, one figure</w:t>
      </w:r>
    </w:p>
    <w:p>
      <w:pPr>
        <w:spacing w:before="230" w:after="80"/>
        <w:pBdr>
          <w:top w:val="single" w:sz="12" w:space="7" w:color="353A7C"/>
        </w:pBdr>
      </w:pPr>
      <w:r>
        <w:rPr>
          <w:b/>
          <w:bCs/>
          <w:color w:val="353A7C"/>
          <w:sz w:val="22"/>
          <w:szCs w:val="22"/>
        </w:rPr>
        <w:t xml:space="preserve">Exercise 3D   </w:t>
      </w:r>
      <w:r>
        <w:rPr>
          <w:b/>
          <w:bCs/>
          <w:sz w:val="21"/>
          <w:szCs w:val="21"/>
        </w:rPr>
        <w:t xml:space="preserve">Complete the grid. Each row builds on the one above it.</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Compute diluted earnings per share with both dilutive securities.</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Exercises 3B and 3C, and Handout 2 for the option shares.</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Start from basic: $510,000 over 291,750.</w:t>
            </w:r>
          </w:p>
          <w:p>
            <w:pPr>
              <w:spacing w:after="30"/>
            </w:pPr>
            <w:r>
              <w:rPr>
                <w:color w:val="353A7C"/>
                <w:sz w:val="18"/>
                <w:szCs w:val="18"/>
              </w:rPr>
              <w:t xml:space="preserve">•  </w:t>
            </w:r>
            <w:r>
              <w:rPr>
                <w:sz w:val="18"/>
                <w:szCs w:val="18"/>
              </w:rPr>
              <w:t xml:space="preserve">The options add 10,000 shares and nothing to the numerator; the bond adds 40,000 shares and $55,209.</w:t>
            </w:r>
          </w:p>
          <w:p>
            <w:pPr>
              <w:spacing w:after="30"/>
            </w:pPr>
            <w:r>
              <w:rPr>
                <w:color w:val="353A7C"/>
                <w:sz w:val="18"/>
                <w:szCs w:val="18"/>
              </w:rPr>
              <w:t xml:space="preserve">•  </w:t>
            </w:r>
            <w:r>
              <w:rPr>
                <w:sz w:val="18"/>
                <w:szCs w:val="18"/>
              </w:rPr>
              <w:t xml:space="preserve">Check the figure falls at every step. If it rises you have included the preferred, which Exercise 3C excluded.</w:t>
            </w:r>
          </w:p>
        </w:tc>
      </w:tr>
    </w:tbl>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34"/>
        <w:gridCol w:w="22"/>
        <w:gridCol w:w="22"/>
        <w:gridCol w:w="22"/>
      </w:tblGrid>
      <w:tr>
        <w:tc>
          <w:tcPr>
            <w:shd w:fill="1F6F8F" w:val="clear"/>
            <w:tcMar>
              <w:top w:type="dxa" w:w="60"/>
              <w:left w:type="dxa" w:w="120"/>
              <w:bottom w:type="dxa" w:w="60"/>
              <w:right w:type="dxa" w:w="120"/>
            </w:tcMar>
          </w:tcPr>
          <w:p>
            <w:r>
              <w:rPr>
                <w:b/>
                <w:bCs/>
                <w:color w:val="FFFFFF"/>
                <w:sz w:val="19"/>
                <w:szCs w:val="19"/>
              </w:rPr>
              <w:t xml:space="preserve">Diluted EPS for 20X4</w:t>
            </w:r>
          </w:p>
        </w:tc>
        <w:tc>
          <w:tcPr>
            <w:shd w:fill="1F6F8F" w:val="clear"/>
            <w:tcMar>
              <w:top w:type="dxa" w:w="60"/>
              <w:left w:type="dxa" w:w="120"/>
              <w:bottom w:type="dxa" w:w="60"/>
              <w:right w:type="dxa" w:w="120"/>
            </w:tcMar>
          </w:tcPr>
          <w:p>
            <w:r>
              <w:rPr>
                <w:b/>
                <w:bCs/>
                <w:color w:val="FFFFFF"/>
                <w:sz w:val="19"/>
                <w:szCs w:val="19"/>
              </w:rPr>
              <w:t xml:space="preserve">Numerator</w:t>
            </w:r>
          </w:p>
        </w:tc>
        <w:tc>
          <w:tcPr>
            <w:shd w:fill="1F6F8F" w:val="clear"/>
            <w:tcMar>
              <w:top w:type="dxa" w:w="60"/>
              <w:left w:type="dxa" w:w="120"/>
              <w:bottom w:type="dxa" w:w="60"/>
              <w:right w:type="dxa" w:w="120"/>
            </w:tcMar>
          </w:tcPr>
          <w:p>
            <w:r>
              <w:rPr>
                <w:b/>
                <w:bCs/>
                <w:color w:val="FFFFFF"/>
                <w:sz w:val="19"/>
                <w:szCs w:val="19"/>
              </w:rPr>
              <w:t xml:space="preserve">Denominator</w:t>
            </w:r>
          </w:p>
        </w:tc>
        <w:tc>
          <w:tcPr>
            <w:shd w:fill="1F6F8F" w:val="clear"/>
            <w:tcMar>
              <w:top w:type="dxa" w:w="60"/>
              <w:left w:type="dxa" w:w="120"/>
              <w:bottom w:type="dxa" w:w="60"/>
              <w:right w:type="dxa" w:w="120"/>
            </w:tcMar>
          </w:tcPr>
          <w:p>
            <w:r>
              <w:rPr>
                <w:b/>
                <w:bCs/>
                <w:color w:val="FFFFFF"/>
                <w:sz w:val="19"/>
                <w:szCs w:val="19"/>
              </w:rPr>
              <w:t xml:space="preserve">Per share</w:t>
            </w:r>
          </w:p>
        </w:tc>
      </w:tr>
      <w:tr>
        <w:tc>
          <w:tcPr>
            <w:tcMar>
              <w:top w:type="dxa" w:w="60"/>
              <w:left w:type="dxa" w:w="120"/>
              <w:bottom w:type="dxa" w:w="60"/>
              <w:right w:type="dxa" w:w="120"/>
            </w:tcMar>
          </w:tcPr>
          <w:p>
            <w:r>
              <w:rPr>
                <w:sz w:val="19"/>
                <w:szCs w:val="19"/>
              </w:rPr>
              <w:t xml:space="preserve">Basic</w:t>
            </w:r>
          </w:p>
        </w:tc>
        <w:tc>
          <w:tcPr>
            <w:tcMar>
              <w:top w:type="dxa" w:w="60"/>
              <w:left w:type="dxa" w:w="120"/>
              <w:bottom w:type="dxa" w:w="60"/>
              <w:right w:type="dxa" w:w="120"/>
            </w:tcMar>
          </w:tcPr>
          <w:p>
            <w:r>
              <w:rPr>
                <w:sz w:val="19"/>
                <w:szCs w:val="19"/>
              </w:rPr>
              <w:t xml:space="preserve">$510,000</w:t>
            </w:r>
          </w:p>
        </w:tc>
        <w:tc>
          <w:tcPr>
            <w:tcMar>
              <w:top w:type="dxa" w:w="60"/>
              <w:left w:type="dxa" w:w="120"/>
              <w:bottom w:type="dxa" w:w="60"/>
              <w:right w:type="dxa" w:w="120"/>
            </w:tcMar>
          </w:tcPr>
          <w:p>
            <w:r>
              <w:rPr>
                <w:sz w:val="19"/>
                <w:szCs w:val="19"/>
              </w:rPr>
              <w:t xml:space="preserve">291,750</w:t>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Add the options</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10,000</w:t>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Add the convertible bond</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40,000</w:t>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Diluted earnings per share</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16"/>
        <w:gridCol w:w="16"/>
        <w:gridCol w:w="16"/>
        <w:gridCol w:w="16"/>
        <w:gridCol w:w="16"/>
        <w:gridCol w:w="16"/>
      </w:tblGrid>
      <w:tr>
        <w:tc>
          <w:tcPr>
            <w:tcMar>
              <w:top w:type="dxa" w:w="60"/>
              <w:left w:type="dxa" w:w="120"/>
              <w:bottom w:type="dxa" w:w="60"/>
              <w:right w:type="dxa" w:w="120"/>
            </w:tcMar>
          </w:tcPr>
          <w:p>
            <w:r>
              <w:rPr>
                <w:b/>
                <w:bCs/>
                <w:color w:val="353A7C"/>
                <w:sz w:val="15"/>
                <w:szCs w:val="15"/>
              </w:rPr>
              <w:t xml:space="preserve">1</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2</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3</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4</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5</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6</w:t>
            </w:r>
          </w:p>
          <w:p>
            <w:r>
              <w:rPr>
                <w:sz w:val="24"/>
                <w:szCs w:val="24"/>
              </w:rPr>
              <w:t xml:space="preserve"> </w:t>
            </w:r>
          </w:p>
        </w:tc>
      </w:tr>
      <w:tr>
        <w:tc>
          <w:tcPr>
            <w:tcMar>
              <w:top w:type="dxa" w:w="60"/>
              <w:left w:type="dxa" w:w="120"/>
              <w:bottom w:type="dxa" w:w="60"/>
              <w:right w:type="dxa" w:w="120"/>
            </w:tcMar>
          </w:tcPr>
          <w:p>
            <w:r>
              <w:rPr>
                <w:b/>
                <w:bCs/>
                <w:color w:val="353A7C"/>
                <w:sz w:val="15"/>
                <w:szCs w:val="15"/>
              </w:rPr>
              <w:t xml:space="preserve">7</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8</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9</w:t>
            </w:r>
          </w:p>
          <w:p>
            <w:r>
              <w:rPr>
                <w:sz w:val="24"/>
                <w:szCs w:val="24"/>
              </w:rPr>
              <w:t xml:space="preserve"> </w:t>
            </w:r>
          </w:p>
        </w:tc>
      </w:tr>
    </w:tbl>
    <w:p/>
    <w:p>
      <w:pPr>
        <w:spacing w:after="40" w:before="90"/>
        <w:jc w:val="center"/>
      </w:pPr>
      <w:r>
        <w:drawing>
          <wp:inline distT="0" distB="0" distL="0" distR="0">
            <wp:extent cx="5734050" cy="200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5734050" cy="2000550"/>
                    </a:xfrm>
                    <a:prstGeom prst="rect">
                      <a:avLst/>
                    </a:prstGeom>
                  </pic:spPr>
                </pic:pic>
              </a:graphicData>
            </a:graphic>
          </wp:inline>
        </w:drawing>
      </w:r>
    </w:p>
    <w:p>
      <w:pPr>
        <w:shd w:fill="353A7C" w:val="clear"/>
        <w:spacing w:after="80" w:before="230"/>
      </w:pPr>
      <w:r>
        <w:rPr>
          <w:b/>
          <w:bCs/>
          <w:color w:val="FFFFFF"/>
          <w:sz w:val="26"/>
          <w:szCs w:val="26"/>
        </w:rPr>
        <w:t xml:space="preserve">  Part 5 · The order, and why it matters</w:t>
      </w:r>
      <w:r>
        <w:rPr>
          <w:b/>
          <w:bCs/>
          <w:color w:val="FFFFFF"/>
          <w:sz w:val="16"/>
          <w:szCs w:val="16"/>
        </w:rPr>
        <w:t xml:space="preserve">    most dilutive first</w:t>
      </w:r>
    </w:p>
    <w:p>
      <w:pPr>
        <w:spacing w:before="230" w:after="80"/>
        <w:pBdr>
          <w:top w:val="single" w:sz="12" w:space="7" w:color="353A7C"/>
        </w:pBdr>
      </w:pPr>
      <w:r>
        <w:rPr>
          <w:b/>
          <w:bCs/>
          <w:color w:val="353A7C"/>
          <w:sz w:val="22"/>
          <w:szCs w:val="22"/>
        </w:rPr>
        <w:t xml:space="preserve">Exercise 3E   </w:t>
      </w:r>
      <w:r>
        <w:rPr>
          <w:b/>
          <w:bCs/>
          <w:sz w:val="21"/>
          <w:szCs w:val="21"/>
        </w:rPr>
        <w:t xml:space="preserve">Sort each statement into the column that says whether it is true.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Say why dilutive securities are included in order of their effect.</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3D.</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Adding securities in a different order can give a different answer, which is why the standard fixes one.</w:t>
            </w:r>
          </w:p>
          <w:p>
            <w:pPr>
              <w:spacing w:after="30"/>
            </w:pPr>
            <w:r>
              <w:rPr>
                <w:color w:val="353A7C"/>
                <w:sz w:val="18"/>
                <w:szCs w:val="18"/>
              </w:rPr>
              <w:t xml:space="preserve">•  </w:t>
            </w:r>
            <w:r>
              <w:rPr>
                <w:sz w:val="18"/>
                <w:szCs w:val="18"/>
              </w:rPr>
              <w:t xml:space="preserve">A security that is dilutive on its own can become antidilutive once others have already lowered the figure.</w:t>
            </w:r>
          </w:p>
          <w:p>
            <w:pPr>
              <w:spacing w:after="30"/>
            </w:pPr>
            <w:r>
              <w:rPr>
                <w:color w:val="353A7C"/>
                <w:sz w:val="18"/>
                <w:szCs w:val="18"/>
              </w:rPr>
              <w:t xml:space="preserve">•  </w:t>
            </w:r>
            <w:r>
              <w:rPr>
                <w:sz w:val="18"/>
                <w:szCs w:val="18"/>
              </w:rPr>
              <w:t xml:space="preserve">One of the statements is about disclosure, which is required for the securities left out.</w:t>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72"/>
        <w:gridCol w:w="14"/>
        <w:gridCol w:w="14"/>
      </w:tblGrid>
      <w:tr>
        <w:tc>
          <w:tcPr>
            <w:shd w:fill="353A7C" w:val="clear"/>
            <w:tcMar>
              <w:top w:type="dxa" w:w="55"/>
              <w:left w:type="dxa" w:w="115"/>
              <w:bottom w:type="dxa" w:w="55"/>
              <w:right w:type="dxa" w:w="115"/>
            </w:tcMar>
          </w:tcPr>
          <w:p>
            <w:r>
              <w:rPr>
                <w:b/>
                <w:bCs/>
                <w:color w:val="FFFFFF"/>
                <w:sz w:val="17"/>
                <w:szCs w:val="17"/>
              </w:rPr>
              <w:t xml:space="preserve">Statement about the order of inclusion</w:t>
            </w:r>
          </w:p>
        </w:tc>
        <w:tc>
          <w:tcPr>
            <w:shd w:fill="353A7C" w:val="clear"/>
            <w:tcMar>
              <w:top w:type="dxa" w:w="55"/>
              <w:left w:type="dxa" w:w="115"/>
              <w:bottom w:type="dxa" w:w="55"/>
              <w:right w:type="dxa" w:w="115"/>
            </w:tcMar>
          </w:tcPr>
          <w:p>
            <w:pPr>
              <w:jc w:val="center"/>
            </w:pPr>
            <w:r>
              <w:rPr>
                <w:b/>
                <w:bCs/>
                <w:color w:val="FFFFFF"/>
                <w:sz w:val="17"/>
                <w:szCs w:val="17"/>
              </w:rPr>
              <w:t xml:space="preserve">TRUE</w:t>
            </w:r>
          </w:p>
        </w:tc>
        <w:tc>
          <w:tcPr>
            <w:shd w:fill="353A7C" w:val="clear"/>
            <w:tcMar>
              <w:top w:type="dxa" w:w="55"/>
              <w:left w:type="dxa" w:w="115"/>
              <w:bottom w:type="dxa" w:w="55"/>
              <w:right w:type="dxa" w:w="115"/>
            </w:tcMar>
          </w:tcPr>
          <w:p>
            <w:pPr>
              <w:jc w:val="center"/>
            </w:pPr>
            <w:r>
              <w:rPr>
                <w:b/>
                <w:bCs/>
                <w:color w:val="FFFFFF"/>
                <w:sz w:val="17"/>
                <w:szCs w:val="17"/>
              </w:rPr>
              <w:t xml:space="preserve">FALSE</w:t>
            </w:r>
          </w:p>
        </w:tc>
      </w:tr>
      <w:tr>
        <w:tc>
          <w:tcPr>
            <w:tcMar>
              <w:top w:type="dxa" w:w="45"/>
              <w:left w:type="dxa" w:w="105"/>
              <w:bottom w:type="dxa" w:w="45"/>
              <w:right w:type="dxa" w:w="105"/>
            </w:tcMar>
          </w:tcPr>
          <w:p>
            <w:r>
              <w:rPr>
                <w:sz w:val="18"/>
                <w:szCs w:val="18"/>
              </w:rPr>
              <w:t xml:space="preserve">1.  Securities are included from most dilutive to least</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2.  The order can change the final diluted figure</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3.  A security dilutive on its own can be antidilutive once others are in</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4.  Antidilutive securities are included at half weight</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5.  Securities excluded as antidilutive are disclosed</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6.  Diluted earnings per share can exceed basic earnings per share</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bl>
    <w:p/>
    <w:p>
      <w:pPr>
        <w:spacing w:after="40" w:before="90"/>
        <w:jc w:val="center"/>
      </w:pPr>
      <w:r>
        <w:drawing>
          <wp:inline distT="0" distB="0" distL="0" distR="0">
            <wp:extent cx="5734050" cy="182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5734050" cy="1822150"/>
                    </a:xfrm>
                    <a:prstGeom prst="rect">
                      <a:avLst/>
                    </a:prstGeom>
                  </pic:spPr>
                </pic:pic>
              </a:graphicData>
            </a:graphic>
          </wp:inline>
        </w:drawing>
      </w:r>
    </w:p>
    <w:p>
      <w:pPr>
        <w:shd w:fill="FDEEEC" w:val="clear"/>
        <w:spacing w:after="100" w:before="60"/>
      </w:pPr>
      <w:r>
        <w:rPr>
          <w:b/>
          <w:bCs/>
          <w:color w:val="C0483F"/>
          <w:sz w:val="20"/>
          <w:szCs w:val="20"/>
        </w:rPr>
        <w:t xml:space="preserve">  Watch out!  </w:t>
      </w:r>
      <w:r>
        <w:rPr>
          <w:sz w:val="20"/>
          <w:szCs w:val="20"/>
        </w:rPr>
        <w:t xml:space="preserve">Diluted earnings per share can never exceed basic. That is not a tendency but a rule, enforced by the antidilution test, and a computed answer above the basic figure is always an error rather than a result.  </w:t>
      </w:r>
    </w:p>
    <w:p>
      <w:pPr>
        <w:shd w:fill="353A7C" w:val="clear"/>
        <w:spacing w:after="80" w:before="230"/>
      </w:pPr>
      <w:r>
        <w:rPr>
          <w:b/>
          <w:bCs/>
          <w:color w:val="FFFFFF"/>
          <w:sz w:val="26"/>
          <w:szCs w:val="26"/>
        </w:rPr>
        <w:t xml:space="preserve">  Part 6 · Exam pitch</w:t>
      </w:r>
      <w:r>
        <w:rPr>
          <w:b/>
          <w:bCs/>
          <w:color w:val="FFFFFF"/>
          <w:sz w:val="16"/>
          <w:szCs w:val="16"/>
        </w:rPr>
        <w:t xml:space="preserve">    the questions as the CMA sets them</w:t>
      </w:r>
    </w:p>
    <w:p>
      <w:pPr>
        <w:spacing w:before="150" w:after="60"/>
      </w:pPr>
      <w:r>
        <w:rPr>
          <w:b/>
          <w:bCs/>
          <w:color w:val="353A7C"/>
          <w:sz w:val="19"/>
          <w:szCs w:val="19"/>
        </w:rPr>
        <w:t xml:space="preserve">1.  [Level A]  </w:t>
      </w:r>
      <w:r>
        <w:rPr>
          <w:b/>
          <w:bCs/>
          <w:sz w:val="19"/>
          <w:szCs w:val="19"/>
        </w:rPr>
        <w:t xml:space="preserve">Under the if-converted method, a convertible bond affects:</w:t>
      </w:r>
    </w:p>
    <w:p>
      <w:pPr>
        <w:ind w:left="340"/>
        <w:spacing w:after="30"/>
      </w:pPr>
      <w:r>
        <w:rPr>
          <w:color w:val="6B7280"/>
          <w:sz w:val="19"/>
          <w:szCs w:val="19"/>
        </w:rPr>
        <w:t xml:space="preserve">(A)  </w:t>
      </w:r>
      <w:r>
        <w:rPr>
          <w:sz w:val="19"/>
          <w:szCs w:val="19"/>
        </w:rPr>
        <w:t xml:space="preserve">The denominator only</w:t>
      </w:r>
    </w:p>
    <w:p>
      <w:pPr>
        <w:ind w:left="340"/>
        <w:spacing w:after="30"/>
      </w:pPr>
      <w:r>
        <w:rPr>
          <w:color w:val="6B7280"/>
          <w:sz w:val="19"/>
          <w:szCs w:val="19"/>
        </w:rPr>
        <w:t xml:space="preserve">(B)  </w:t>
      </w:r>
      <w:r>
        <w:rPr>
          <w:sz w:val="19"/>
          <w:szCs w:val="19"/>
        </w:rPr>
        <w:t xml:space="preserve">The numerator and the denominator</w:t>
      </w:r>
    </w:p>
    <w:p>
      <w:pPr>
        <w:ind w:left="340"/>
        <w:spacing w:after="30"/>
      </w:pPr>
      <w:r>
        <w:rPr>
          <w:color w:val="6B7280"/>
          <w:sz w:val="19"/>
          <w:szCs w:val="19"/>
        </w:rPr>
        <w:t xml:space="preserve">(C)  </w:t>
      </w:r>
      <w:r>
        <w:rPr>
          <w:sz w:val="19"/>
          <w:szCs w:val="19"/>
        </w:rPr>
        <w:t xml:space="preserve">The numerator only</w:t>
      </w:r>
    </w:p>
    <w:p>
      <w:pPr>
        <w:ind w:left="340"/>
        <w:spacing w:after="30"/>
      </w:pPr>
      <w:r>
        <w:rPr>
          <w:color w:val="6B7280"/>
          <w:sz w:val="19"/>
          <w:szCs w:val="19"/>
        </w:rPr>
        <w:t xml:space="preserve">(D)  </w:t>
      </w:r>
      <w:r>
        <w:rPr>
          <w:sz w:val="19"/>
          <w:szCs w:val="19"/>
        </w:rPr>
        <w:t xml:space="preserve">Neither</w:t>
      </w:r>
    </w:p>
    <w:p>
      <w:pPr>
        <w:spacing w:before="150" w:after="60"/>
      </w:pPr>
      <w:r>
        <w:rPr>
          <w:b/>
          <w:bCs/>
          <w:color w:val="353A7C"/>
          <w:sz w:val="19"/>
          <w:szCs w:val="19"/>
        </w:rPr>
        <w:t xml:space="preserve">2.  [Level B]  </w:t>
      </w:r>
      <w:r>
        <w:rPr>
          <w:b/>
          <w:bCs/>
          <w:sz w:val="19"/>
          <w:szCs w:val="19"/>
        </w:rPr>
        <w:t xml:space="preserve">A convertible bond carries $73,612 of interest for the year and the tax rate is 25%. The add-back to the numerator is:</w:t>
      </w:r>
    </w:p>
    <w:p>
      <w:pPr>
        <w:ind w:left="340"/>
        <w:spacing w:after="30"/>
      </w:pPr>
      <w:r>
        <w:rPr>
          <w:color w:val="6B7280"/>
          <w:sz w:val="19"/>
          <w:szCs w:val="19"/>
        </w:rPr>
        <w:t xml:space="preserve">(A)  </w:t>
      </w:r>
      <w:r>
        <w:rPr>
          <w:sz w:val="19"/>
          <w:szCs w:val="19"/>
        </w:rPr>
        <w:t xml:space="preserve">$73,612</w:t>
      </w:r>
    </w:p>
    <w:p>
      <w:pPr>
        <w:ind w:left="340"/>
        <w:spacing w:after="30"/>
      </w:pPr>
      <w:r>
        <w:rPr>
          <w:color w:val="6B7280"/>
          <w:sz w:val="19"/>
          <w:szCs w:val="19"/>
        </w:rPr>
        <w:t xml:space="preserve">(B)  </w:t>
      </w:r>
      <w:r>
        <w:rPr>
          <w:sz w:val="19"/>
          <w:szCs w:val="19"/>
        </w:rPr>
        <w:t xml:space="preserve">$55,209</w:t>
      </w:r>
    </w:p>
    <w:p>
      <w:pPr>
        <w:ind w:left="340"/>
        <w:spacing w:after="30"/>
      </w:pPr>
      <w:r>
        <w:rPr>
          <w:color w:val="6B7280"/>
          <w:sz w:val="19"/>
          <w:szCs w:val="19"/>
        </w:rPr>
        <w:t xml:space="preserve">(C)  </w:t>
      </w:r>
      <w:r>
        <w:rPr>
          <w:sz w:val="19"/>
          <w:szCs w:val="19"/>
        </w:rPr>
        <w:t xml:space="preserve">$18,403</w:t>
      </w:r>
    </w:p>
    <w:p>
      <w:pPr>
        <w:ind w:left="340"/>
        <w:spacing w:after="30"/>
      </w:pPr>
      <w:r>
        <w:rPr>
          <w:color w:val="6B7280"/>
          <w:sz w:val="19"/>
          <w:szCs w:val="19"/>
        </w:rPr>
        <w:t xml:space="preserve">(D)  </w:t>
      </w:r>
      <w:r>
        <w:rPr>
          <w:sz w:val="19"/>
          <w:szCs w:val="19"/>
        </w:rPr>
        <w:t xml:space="preserve">Nil</w:t>
      </w:r>
    </w:p>
    <w:p>
      <w:pPr>
        <w:spacing w:before="150" w:after="60"/>
      </w:pPr>
      <w:r>
        <w:rPr>
          <w:b/>
          <w:bCs/>
          <w:color w:val="353A7C"/>
          <w:sz w:val="19"/>
          <w:szCs w:val="19"/>
        </w:rPr>
        <w:t xml:space="preserve">3.  [Level B]  </w:t>
      </w:r>
      <w:r>
        <w:rPr>
          <w:b/>
          <w:bCs/>
          <w:sz w:val="19"/>
          <w:szCs w:val="19"/>
        </w:rPr>
        <w:t xml:space="preserve">A convertible preferred stock requires a dividend of $90,000 and would convert into 20,000 shares. Its incremental earnings per share is:</w:t>
      </w:r>
    </w:p>
    <w:p>
      <w:pPr>
        <w:ind w:left="340"/>
        <w:spacing w:after="30"/>
      </w:pPr>
      <w:r>
        <w:rPr>
          <w:color w:val="6B7280"/>
          <w:sz w:val="19"/>
          <w:szCs w:val="19"/>
        </w:rPr>
        <w:t xml:space="preserve">(A)  </w:t>
      </w:r>
      <w:r>
        <w:rPr>
          <w:sz w:val="19"/>
          <w:szCs w:val="19"/>
        </w:rPr>
        <w:t xml:space="preserve">$2.25</w:t>
      </w:r>
    </w:p>
    <w:p>
      <w:pPr>
        <w:ind w:left="340"/>
        <w:spacing w:after="30"/>
      </w:pPr>
      <w:r>
        <w:rPr>
          <w:color w:val="6B7280"/>
          <w:sz w:val="19"/>
          <w:szCs w:val="19"/>
        </w:rPr>
        <w:t xml:space="preserve">(B)  </w:t>
      </w:r>
      <w:r>
        <w:rPr>
          <w:sz w:val="19"/>
          <w:szCs w:val="19"/>
        </w:rPr>
        <w:t xml:space="preserve">$4.50</w:t>
      </w:r>
    </w:p>
    <w:p>
      <w:pPr>
        <w:ind w:left="340"/>
        <w:spacing w:after="30"/>
      </w:pPr>
      <w:r>
        <w:rPr>
          <w:color w:val="6B7280"/>
          <w:sz w:val="19"/>
          <w:szCs w:val="19"/>
        </w:rPr>
        <w:t xml:space="preserve">(C)  </w:t>
      </w:r>
      <w:r>
        <w:rPr>
          <w:sz w:val="19"/>
          <w:szCs w:val="19"/>
        </w:rPr>
        <w:t xml:space="preserve">$1.75</w:t>
      </w:r>
    </w:p>
    <w:p>
      <w:pPr>
        <w:ind w:left="340"/>
        <w:spacing w:after="30"/>
      </w:pPr>
      <w:r>
        <w:rPr>
          <w:color w:val="6B7280"/>
          <w:sz w:val="19"/>
          <w:szCs w:val="19"/>
        </w:rPr>
        <w:t xml:space="preserve">(D)  </w:t>
      </w:r>
      <w:r>
        <w:rPr>
          <w:sz w:val="19"/>
          <w:szCs w:val="19"/>
        </w:rPr>
        <w:t xml:space="preserve">Nil</w:t>
      </w:r>
    </w:p>
    <w:p>
      <w:pPr>
        <w:spacing w:before="150" w:after="60"/>
      </w:pPr>
      <w:r>
        <w:rPr>
          <w:b/>
          <w:bCs/>
          <w:color w:val="353A7C"/>
          <w:sz w:val="19"/>
          <w:szCs w:val="19"/>
        </w:rPr>
        <w:t xml:space="preserve">4.  [Level B]  </w:t>
      </w:r>
      <w:r>
        <w:rPr>
          <w:b/>
          <w:bCs/>
          <w:sz w:val="19"/>
          <w:szCs w:val="19"/>
        </w:rPr>
        <w:t xml:space="preserve">A security whose incremental earnings per share is above the basic figure is:</w:t>
      </w:r>
    </w:p>
    <w:p>
      <w:pPr>
        <w:ind w:left="340"/>
        <w:spacing w:after="30"/>
      </w:pPr>
      <w:r>
        <w:rPr>
          <w:color w:val="6B7280"/>
          <w:sz w:val="19"/>
          <w:szCs w:val="19"/>
        </w:rPr>
        <w:t xml:space="preserve">(A)  </w:t>
      </w:r>
      <w:r>
        <w:rPr>
          <w:sz w:val="19"/>
          <w:szCs w:val="19"/>
        </w:rPr>
        <w:t xml:space="preserve">Included first</w:t>
      </w:r>
    </w:p>
    <w:p>
      <w:pPr>
        <w:ind w:left="340"/>
        <w:spacing w:after="30"/>
      </w:pPr>
      <w:r>
        <w:rPr>
          <w:color w:val="6B7280"/>
          <w:sz w:val="19"/>
          <w:szCs w:val="19"/>
        </w:rPr>
        <w:t xml:space="preserve">(B)  </w:t>
      </w:r>
      <w:r>
        <w:rPr>
          <w:sz w:val="19"/>
          <w:szCs w:val="19"/>
        </w:rPr>
        <w:t xml:space="preserve">Excluded as antidilutive</w:t>
      </w:r>
    </w:p>
    <w:p>
      <w:pPr>
        <w:ind w:left="340"/>
        <w:spacing w:after="30"/>
      </w:pPr>
      <w:r>
        <w:rPr>
          <w:color w:val="6B7280"/>
          <w:sz w:val="19"/>
          <w:szCs w:val="19"/>
        </w:rPr>
        <w:t xml:space="preserve">(C)  </w:t>
      </w:r>
      <w:r>
        <w:rPr>
          <w:sz w:val="19"/>
          <w:szCs w:val="19"/>
        </w:rPr>
        <w:t xml:space="preserve">Included last</w:t>
      </w:r>
    </w:p>
    <w:p>
      <w:pPr>
        <w:ind w:left="340"/>
        <w:spacing w:after="30"/>
      </w:pPr>
      <w:r>
        <w:rPr>
          <w:color w:val="6B7280"/>
          <w:sz w:val="19"/>
          <w:szCs w:val="19"/>
        </w:rPr>
        <w:t xml:space="preserve">(D)  </w:t>
      </w:r>
      <w:r>
        <w:rPr>
          <w:sz w:val="19"/>
          <w:szCs w:val="19"/>
        </w:rPr>
        <w:t xml:space="preserve">Included at half weight</w:t>
      </w:r>
    </w:p>
    <w:p>
      <w:pPr>
        <w:spacing w:before="150" w:after="60"/>
      </w:pPr>
      <w:r>
        <w:rPr>
          <w:b/>
          <w:bCs/>
          <w:color w:val="353A7C"/>
          <w:sz w:val="19"/>
          <w:szCs w:val="19"/>
        </w:rPr>
        <w:t xml:space="preserve">5.  [Level C]  </w:t>
      </w:r>
      <w:r>
        <w:rPr>
          <w:b/>
          <w:bCs/>
          <w:sz w:val="19"/>
          <w:szCs w:val="19"/>
        </w:rPr>
        <w:t xml:space="preserve">Northwind’s basic earnings per share is $1.75 and its diluted figure is $1.65. A newly issued security has an incremental earnings per share of $1.50. It should be:</w:t>
      </w:r>
    </w:p>
    <w:p>
      <w:pPr>
        <w:ind w:left="340"/>
        <w:spacing w:after="30"/>
      </w:pPr>
      <w:r>
        <w:rPr>
          <w:color w:val="6B7280"/>
          <w:sz w:val="19"/>
          <w:szCs w:val="19"/>
        </w:rPr>
        <w:t xml:space="preserve">(A)  </w:t>
      </w:r>
      <w:r>
        <w:rPr>
          <w:sz w:val="19"/>
          <w:szCs w:val="19"/>
        </w:rPr>
        <w:t xml:space="preserve">Excluded, because $1.50 is above $1.65</w:t>
      </w:r>
    </w:p>
    <w:p>
      <w:pPr>
        <w:ind w:left="340"/>
        <w:spacing w:after="30"/>
      </w:pPr>
      <w:r>
        <w:rPr>
          <w:color w:val="6B7280"/>
          <w:sz w:val="19"/>
          <w:szCs w:val="19"/>
        </w:rPr>
        <w:t xml:space="preserve">(B)  </w:t>
      </w:r>
      <w:r>
        <w:rPr>
          <w:sz w:val="19"/>
          <w:szCs w:val="19"/>
        </w:rPr>
        <w:t xml:space="preserve">Included, because $1.50 is below the basic $1.75</w:t>
      </w:r>
    </w:p>
    <w:p>
      <w:pPr>
        <w:ind w:left="340"/>
        <w:spacing w:after="30"/>
      </w:pPr>
      <w:r>
        <w:rPr>
          <w:color w:val="6B7280"/>
          <w:sz w:val="19"/>
          <w:szCs w:val="19"/>
        </w:rPr>
        <w:t xml:space="preserve">(C)  </w:t>
      </w:r>
      <w:r>
        <w:rPr>
          <w:sz w:val="19"/>
          <w:szCs w:val="19"/>
        </w:rPr>
        <w:t xml:space="preserve">Excluded, because it is preferred stock</w:t>
      </w:r>
    </w:p>
    <w:p>
      <w:pPr>
        <w:ind w:left="340"/>
        <w:spacing w:after="30"/>
      </w:pPr>
      <w:r>
        <w:rPr>
          <w:color w:val="6B7280"/>
          <w:sz w:val="19"/>
          <w:szCs w:val="19"/>
        </w:rPr>
        <w:t xml:space="preserve">(D)  </w:t>
      </w:r>
      <w:r>
        <w:rPr>
          <w:sz w:val="19"/>
          <w:szCs w:val="19"/>
        </w:rPr>
        <w:t xml:space="preserve">Included only if it is in the money</w:t>
      </w:r>
    </w:p>
    <w:p>
      <w:pPr>
        <w:spacing w:before="150" w:after="60"/>
      </w:pPr>
      <w:r>
        <w:rPr>
          <w:b/>
          <w:bCs/>
          <w:color w:val="353A7C"/>
          <w:sz w:val="19"/>
          <w:szCs w:val="19"/>
        </w:rPr>
        <w:t xml:space="preserve">6.  [Level C]  </w:t>
      </w:r>
      <w:r>
        <w:rPr>
          <w:b/>
          <w:bCs/>
          <w:sz w:val="19"/>
          <w:szCs w:val="19"/>
        </w:rPr>
        <w:t xml:space="preserve">Dilutive securities are included in the computation:</w:t>
      </w:r>
    </w:p>
    <w:p>
      <w:pPr>
        <w:ind w:left="340"/>
        <w:spacing w:after="30"/>
      </w:pPr>
      <w:r>
        <w:rPr>
          <w:color w:val="6B7280"/>
          <w:sz w:val="19"/>
          <w:szCs w:val="19"/>
        </w:rPr>
        <w:t xml:space="preserve">(A)  </w:t>
      </w:r>
      <w:r>
        <w:rPr>
          <w:sz w:val="19"/>
          <w:szCs w:val="19"/>
        </w:rPr>
        <w:t xml:space="preserve">In the order they were issued</w:t>
      </w:r>
    </w:p>
    <w:p>
      <w:pPr>
        <w:ind w:left="340"/>
        <w:spacing w:after="30"/>
      </w:pPr>
      <w:r>
        <w:rPr>
          <w:color w:val="6B7280"/>
          <w:sz w:val="19"/>
          <w:szCs w:val="19"/>
        </w:rPr>
        <w:t xml:space="preserve">(B)  </w:t>
      </w:r>
      <w:r>
        <w:rPr>
          <w:sz w:val="19"/>
          <w:szCs w:val="19"/>
        </w:rPr>
        <w:t xml:space="preserve">From the most dilutive to the least</w:t>
      </w:r>
    </w:p>
    <w:p>
      <w:pPr>
        <w:ind w:left="340"/>
        <w:spacing w:after="30"/>
      </w:pPr>
      <w:r>
        <w:rPr>
          <w:color w:val="6B7280"/>
          <w:sz w:val="19"/>
          <w:szCs w:val="19"/>
        </w:rPr>
        <w:t xml:space="preserve">(C)  </w:t>
      </w:r>
      <w:r>
        <w:rPr>
          <w:sz w:val="19"/>
          <w:szCs w:val="19"/>
        </w:rPr>
        <w:t xml:space="preserve">From the least dilutive to the most</w:t>
      </w:r>
    </w:p>
    <w:p>
      <w:pPr>
        <w:ind w:left="340"/>
        <w:spacing w:after="30"/>
      </w:pPr>
      <w:r>
        <w:rPr>
          <w:color w:val="6B7280"/>
          <w:sz w:val="19"/>
          <w:szCs w:val="19"/>
        </w:rPr>
        <w:t xml:space="preserve">(D)  </w:t>
      </w:r>
      <w:r>
        <w:rPr>
          <w:sz w:val="19"/>
          <w:szCs w:val="19"/>
        </w:rPr>
        <w:t xml:space="preserve">In any order, since the answer is the same</w:t>
      </w:r>
    </w:p>
    <w:p>
      <w:pPr>
        <w:spacing w:before="150" w:after="60"/>
      </w:pPr>
      <w:r>
        <w:rPr>
          <w:b/>
          <w:bCs/>
          <w:color w:val="353A7C"/>
          <w:sz w:val="19"/>
          <w:szCs w:val="19"/>
        </w:rPr>
        <w:t xml:space="preserve">7.  [Level A]  </w:t>
      </w:r>
      <w:r>
        <w:rPr>
          <w:b/>
          <w:bCs/>
          <w:sz w:val="19"/>
          <w:szCs w:val="19"/>
        </w:rPr>
        <w:t xml:space="preserve">A company computes a diluted figure above its basic figure. This means:</w:t>
      </w:r>
    </w:p>
    <w:p>
      <w:pPr>
        <w:ind w:left="340"/>
        <w:spacing w:after="30"/>
      </w:pPr>
      <w:r>
        <w:rPr>
          <w:color w:val="6B7280"/>
          <w:sz w:val="19"/>
          <w:szCs w:val="19"/>
        </w:rPr>
        <w:t xml:space="preserve">(A)  </w:t>
      </w:r>
      <w:r>
        <w:rPr>
          <w:sz w:val="19"/>
          <w:szCs w:val="19"/>
        </w:rPr>
        <w:t xml:space="preserve">The company is highly profitable</w:t>
      </w:r>
    </w:p>
    <w:p>
      <w:pPr>
        <w:ind w:left="340"/>
        <w:spacing w:after="30"/>
      </w:pPr>
      <w:r>
        <w:rPr>
          <w:color w:val="6B7280"/>
          <w:sz w:val="19"/>
          <w:szCs w:val="19"/>
        </w:rPr>
        <w:t xml:space="preserve">(B)  </w:t>
      </w:r>
      <w:r>
        <w:rPr>
          <w:sz w:val="19"/>
          <w:szCs w:val="19"/>
        </w:rPr>
        <w:t xml:space="preserve">An antidilutive security has been included in error</w:t>
      </w:r>
    </w:p>
    <w:p>
      <w:pPr>
        <w:ind w:left="340"/>
        <w:spacing w:after="30"/>
      </w:pPr>
      <w:r>
        <w:rPr>
          <w:color w:val="6B7280"/>
          <w:sz w:val="19"/>
          <w:szCs w:val="19"/>
        </w:rPr>
        <w:t xml:space="preserve">(C)  </w:t>
      </w:r>
      <w:r>
        <w:rPr>
          <w:sz w:val="19"/>
          <w:szCs w:val="19"/>
        </w:rPr>
        <w:t xml:space="preserve">The securities were added in the wrong order</w:t>
      </w:r>
    </w:p>
    <w:p>
      <w:pPr>
        <w:ind w:left="340"/>
        <w:spacing w:after="30"/>
      </w:pPr>
      <w:r>
        <w:rPr>
          <w:color w:val="6B7280"/>
          <w:sz w:val="19"/>
          <w:szCs w:val="19"/>
        </w:rPr>
        <w:t xml:space="preserve">(D)  </w:t>
      </w:r>
      <w:r>
        <w:rPr>
          <w:sz w:val="19"/>
          <w:szCs w:val="19"/>
        </w:rPr>
        <w:t xml:space="preserve">The numerator was understated</w:t>
      </w:r>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EEEFFC" w:val="clear"/>
            <w:tcMar>
              <w:top w:type="dxa" w:w="110"/>
              <w:left w:type="dxa" w:w="170"/>
              <w:bottom w:type="dxa" w:w="110"/>
              <w:right w:type="dxa" w:w="170"/>
            </w:tcMar>
          </w:tcPr>
          <w:p>
            <w:r>
              <w:rPr>
                <w:b/>
                <w:bCs/>
                <w:color w:val="353A7C"/>
                <w:sz w:val="19"/>
                <w:szCs w:val="19"/>
              </w:rPr>
              <w:t xml:space="preserve">ADAPTIVE TIP   </w:t>
            </w:r>
            <w:r>
              <w:rPr>
                <w:sz w:val="20"/>
                <w:szCs w:val="20"/>
              </w:rPr>
              <w:t xml:space="preserve">Compute each security’s incremental earnings per share before you compute anything else, and write them in a column beside the basic figure. That one list tells you which securities go in, in what order, and which the question put there to be left out.</w:t>
            </w:r>
          </w:p>
        </w:tc>
      </w:tr>
    </w:tbl>
    <w:p/>
    <w:p>
      <w:pPr>
        <w:sectPr>
          <w:headerReference w:type="default" r:id="rIdHdr4"/>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Answer Key</w:t>
      </w:r>
    </w:p>
    <w:p>
      <w:pPr>
        <w:spacing w:after="8"/>
      </w:pPr>
      <w:r>
        <w:rPr>
          <w:color w:val="23265A"/>
          <w:sz w:val="22"/>
          <w:szCs w:val="22"/>
        </w:rPr>
        <w:t xml:space="preserve">Volume 15 · Handouts 1 to 3</w:t>
      </w:r>
    </w:p>
    <w:p>
      <w:pPr>
        <w:spacing w:after="130"/>
      </w:pPr>
      <w:r>
        <w:rPr>
          <w:color w:val="6B7280"/>
          <w:sz w:val="20"/>
          <w:szCs w:val="20"/>
        </w:rPr>
        <w:t xml:space="preserve">Every answer carries the reason for it and the mistake it defeats.</w:t>
      </w:r>
    </w:p>
    <w:p>
      <w:pPr>
        <w:sectPr>
          <w:pgSz w:w="11906" w:h="16838" w:orient="portrait"/>
          <w:pgMar w:top="1180" w:right="1000" w:bottom="900" w:left="1000" w:header="708" w:footer="708" w:gutter="0"/>
          <w:pgNumType/>
          <w:docGrid w:linePitch="360"/>
        </w:sectPr>
      </w:pPr>
    </w:p>
    <w:p>
      <w:pPr>
        <w:shd w:fill="353A7C" w:val="clear"/>
        <w:spacing w:after="80" w:before="230"/>
      </w:pPr>
      <w:r>
        <w:rPr>
          <w:b/>
          <w:bCs/>
          <w:color w:val="FFFFFF"/>
          <w:sz w:val="26"/>
          <w:szCs w:val="26"/>
        </w:rPr>
        <w:t xml:space="preserve">  Handout 1 · Basic EPS and the Weighted Average Share Count</w:t>
      </w:r>
      <w:r>
        <w:rPr>
          <w:b/>
          <w:bCs/>
          <w:color w:val="FFFFFF"/>
          <w:sz w:val="16"/>
          <w:szCs w:val="16"/>
        </w:rPr>
        <w:t xml:space="preserve">    answers</w:t>
      </w:r>
    </w:p>
    <w:p>
      <w:pPr>
        <w:spacing w:after="40" w:before="130"/>
      </w:pPr>
      <w:r>
        <w:rPr>
          <w:b/>
          <w:bCs/>
          <w:color w:val="23265A"/>
          <w:sz w:val="24"/>
          <w:szCs w:val="24"/>
        </w:rPr>
        <w:t xml:space="preserve">Completed text and exercises</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2"/>
        <w:gridCol w:w="40"/>
        <w:gridCol w:w="33"/>
      </w:tblGrid>
      <w:tr>
        <w:tc>
          <w:tcPr>
            <w:shd w:fill="2E8B62" w:val="clear"/>
            <w:tcMar>
              <w:top w:type="dxa" w:w="55"/>
              <w:left w:type="dxa" w:w="115"/>
              <w:bottom w:type="dxa" w:w="55"/>
              <w:right w:type="dxa" w:w="115"/>
            </w:tcMar>
          </w:tcPr>
          <w:p>
            <w:r>
              <w:rPr>
                <w:b/>
                <w:bCs/>
                <w:color w:val="FFFFFF"/>
                <w:sz w:val="17"/>
                <w:szCs w:val="17"/>
              </w:rPr>
              <w:t xml:space="preserve">#</w:t>
            </w:r>
          </w:p>
        </w:tc>
        <w:tc>
          <w:tcPr>
            <w:shd w:fill="2E8B62" w:val="clear"/>
            <w:tcMar>
              <w:top w:type="dxa" w:w="55"/>
              <w:left w:type="dxa" w:w="115"/>
              <w:bottom w:type="dxa" w:w="55"/>
              <w:right w:type="dxa" w:w="115"/>
            </w:tcMar>
          </w:tcPr>
          <w:p>
            <w:r>
              <w:rPr>
                <w:b/>
                <w:bCs/>
                <w:color w:val="FFFFFF"/>
                <w:sz w:val="17"/>
                <w:szCs w:val="17"/>
              </w:rPr>
              <w:t xml:space="preserve">Answer</w:t>
            </w:r>
          </w:p>
        </w:tc>
        <w:tc>
          <w:tcPr>
            <w:shd w:fill="2E8B62" w:val="clear"/>
            <w:tcMar>
              <w:top w:type="dxa" w:w="55"/>
              <w:left w:type="dxa" w:w="115"/>
              <w:bottom w:type="dxa" w:w="55"/>
              <w:right w:type="dxa" w:w="115"/>
            </w:tcMar>
          </w:tcPr>
          <w:p>
            <w:r>
              <w:rPr>
                <w:b/>
                <w:bCs/>
                <w:color w:val="FFFFFF"/>
                <w:sz w:val="17"/>
                <w:szCs w:val="17"/>
              </w:rPr>
              <w:t xml:space="preserve">Why</w:t>
            </w:r>
          </w:p>
        </w:tc>
        <w:tc>
          <w:tcPr>
            <w:shd w:fill="2E8B62" w:val="clear"/>
            <w:tcMar>
              <w:top w:type="dxa" w:w="55"/>
              <w:left w:type="dxa" w:w="115"/>
              <w:bottom w:type="dxa" w:w="55"/>
              <w:right w:type="dxa" w:w="115"/>
            </w:tcMar>
          </w:tcPr>
          <w:p>
            <w:r>
              <w:rPr>
                <w:b/>
                <w:bCs/>
                <w:color w:val="FFFFFF"/>
                <w:sz w:val="17"/>
                <w:szCs w:val="17"/>
              </w:rPr>
              <w:t xml:space="preserve">The trap it defeats</w:t>
            </w:r>
          </w:p>
        </w:tc>
      </w:tr>
      <w:tr>
        <w:tc>
          <w:tcPr>
            <w:shd w:fill="F5F7FC" w:val="clear"/>
            <w:tcMar>
              <w:top w:type="dxa" w:w="40"/>
              <w:left w:type="dxa" w:w="100"/>
              <w:bottom w:type="dxa" w:w="40"/>
              <w:right w:type="dxa" w:w="100"/>
            </w:tcMar>
          </w:tcPr>
          <w:p>
            <w:r>
              <w:rPr>
                <w:b/>
                <w:bCs/>
                <w:sz w:val="17"/>
                <w:szCs w:val="17"/>
              </w:rPr>
              <w:t xml:space="preserve">1</w:t>
            </w:r>
          </w:p>
        </w:tc>
        <w:tc>
          <w:tcPr>
            <w:tcMar>
              <w:top w:type="dxa" w:w="40"/>
              <w:left w:type="dxa" w:w="100"/>
              <w:bottom w:type="dxa" w:w="40"/>
              <w:right w:type="dxa" w:w="100"/>
            </w:tcMar>
          </w:tcPr>
          <w:p>
            <w:r>
              <w:rPr>
                <w:b/>
                <w:bCs/>
                <w:sz w:val="17"/>
                <w:szCs w:val="17"/>
              </w:rPr>
              <w:t xml:space="preserve">overstate</w:t>
            </w:r>
          </w:p>
        </w:tc>
        <w:tc>
          <w:tcPr>
            <w:tcMar>
              <w:top w:type="dxa" w:w="40"/>
              <w:left w:type="dxa" w:w="100"/>
              <w:bottom w:type="dxa" w:w="40"/>
              <w:right w:type="dxa" w:w="100"/>
            </w:tcMar>
          </w:tcPr>
          <w:p>
            <w:r>
              <w:rPr>
                <w:sz w:val="17"/>
                <w:szCs w:val="17"/>
              </w:rPr>
              <w:t xml:space="preserve">More shares than actually earned.</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2</w:t>
            </w:r>
          </w:p>
        </w:tc>
        <w:tc>
          <w:tcPr>
            <w:tcMar>
              <w:top w:type="dxa" w:w="40"/>
              <w:left w:type="dxa" w:w="100"/>
              <w:bottom w:type="dxa" w:w="40"/>
              <w:right w:type="dxa" w:w="100"/>
            </w:tcMar>
          </w:tcPr>
          <w:p>
            <w:r>
              <w:rPr>
                <w:b/>
                <w:bCs/>
                <w:sz w:val="17"/>
                <w:szCs w:val="17"/>
              </w:rPr>
              <w:t xml:space="preserve">quarters</w:t>
            </w:r>
          </w:p>
        </w:tc>
        <w:tc>
          <w:tcPr>
            <w:tcMar>
              <w:top w:type="dxa" w:w="40"/>
              <w:left w:type="dxa" w:w="100"/>
              <w:bottom w:type="dxa" w:w="40"/>
              <w:right w:type="dxa" w:w="100"/>
            </w:tcMar>
          </w:tcPr>
          <w:p>
            <w:r>
              <w:rPr>
                <w:sz w:val="17"/>
                <w:szCs w:val="17"/>
              </w:rPr>
              <w:t xml:space="preserve">Nine of twelve months.</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3</w:t>
            </w:r>
          </w:p>
        </w:tc>
        <w:tc>
          <w:tcPr>
            <w:tcMar>
              <w:top w:type="dxa" w:w="40"/>
              <w:left w:type="dxa" w:w="100"/>
              <w:bottom w:type="dxa" w:w="40"/>
              <w:right w:type="dxa" w:w="100"/>
            </w:tcMar>
          </w:tcPr>
          <w:p>
            <w:r>
              <w:rPr>
                <w:b/>
                <w:bCs/>
                <w:sz w:val="17"/>
                <w:szCs w:val="17"/>
              </w:rPr>
              <w:t xml:space="preserve">deducted</w:t>
            </w:r>
          </w:p>
        </w:tc>
        <w:tc>
          <w:tcPr>
            <w:tcMar>
              <w:top w:type="dxa" w:w="40"/>
              <w:left w:type="dxa" w:w="100"/>
              <w:bottom w:type="dxa" w:w="40"/>
              <w:right w:type="dxa" w:w="100"/>
            </w:tcMar>
          </w:tcPr>
          <w:p>
            <w:r>
              <w:rPr>
                <w:sz w:val="17"/>
                <w:szCs w:val="17"/>
              </w:rPr>
              <w:t xml:space="preserve">Out of issue, so out of the average.</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4</w:t>
            </w:r>
          </w:p>
        </w:tc>
        <w:tc>
          <w:tcPr>
            <w:tcMar>
              <w:top w:type="dxa" w:w="40"/>
              <w:left w:type="dxa" w:w="100"/>
              <w:bottom w:type="dxa" w:w="40"/>
              <w:right w:type="dxa" w:w="100"/>
            </w:tcMar>
          </w:tcPr>
          <w:p>
            <w:r>
              <w:rPr>
                <w:b/>
                <w:bCs/>
                <w:sz w:val="17"/>
                <w:szCs w:val="17"/>
              </w:rPr>
              <w:t xml:space="preserve">rises</w:t>
            </w:r>
          </w:p>
        </w:tc>
        <w:tc>
          <w:tcPr>
            <w:tcMar>
              <w:top w:type="dxa" w:w="40"/>
              <w:left w:type="dxa" w:w="100"/>
              <w:bottom w:type="dxa" w:w="40"/>
              <w:right w:type="dxa" w:w="100"/>
            </w:tcMar>
          </w:tcPr>
          <w:p>
            <w:r>
              <w:rPr>
                <w:sz w:val="17"/>
                <w:szCs w:val="17"/>
              </w:rPr>
              <w:t xml:space="preserve">A smaller denominator over the same profit.</w:t>
            </w:r>
          </w:p>
        </w:tc>
        <w:tc>
          <w:tcPr>
            <w:tcMar>
              <w:top w:type="dxa" w:w="40"/>
              <w:left w:type="dxa" w:w="100"/>
              <w:bottom w:type="dxa" w:w="40"/>
              <w:right w:type="dxa" w:w="100"/>
            </w:tcMar>
          </w:tcPr>
          <w:p>
            <w:r>
              <w:rPr>
                <w:color w:val="C0483F"/>
                <w:sz w:val="17"/>
                <w:szCs w:val="17"/>
              </w:rPr>
              <w:t xml:space="preserve">Students read a rise in earnings per share as better performance. Half the time it is a smaller share count.</w:t>
            </w:r>
          </w:p>
        </w:tc>
      </w:tr>
      <w:tr>
        <w:tc>
          <w:tcPr>
            <w:shd w:fill="F5F7FC" w:val="clear"/>
            <w:tcMar>
              <w:top w:type="dxa" w:w="40"/>
              <w:left w:type="dxa" w:w="100"/>
              <w:bottom w:type="dxa" w:w="40"/>
              <w:right w:type="dxa" w:w="100"/>
            </w:tcMar>
          </w:tcPr>
          <w:p>
            <w:r>
              <w:rPr>
                <w:b/>
                <w:bCs/>
                <w:sz w:val="17"/>
                <w:szCs w:val="17"/>
              </w:rPr>
              <w:t xml:space="preserve">5</w:t>
            </w:r>
          </w:p>
        </w:tc>
        <w:tc>
          <w:tcPr>
            <w:tcMar>
              <w:top w:type="dxa" w:w="40"/>
              <w:left w:type="dxa" w:w="100"/>
              <w:bottom w:type="dxa" w:w="40"/>
              <w:right w:type="dxa" w:w="100"/>
            </w:tcMar>
          </w:tcPr>
          <w:p>
            <w:r>
              <w:rPr>
                <w:b/>
                <w:bCs/>
                <w:sz w:val="17"/>
                <w:szCs w:val="17"/>
              </w:rPr>
              <w:t xml:space="preserve">deducted</w:t>
            </w:r>
          </w:p>
        </w:tc>
        <w:tc>
          <w:tcPr>
            <w:tcMar>
              <w:top w:type="dxa" w:w="40"/>
              <w:left w:type="dxa" w:w="100"/>
              <w:bottom w:type="dxa" w:w="40"/>
              <w:right w:type="dxa" w:w="100"/>
            </w:tcMar>
          </w:tcPr>
          <w:p>
            <w:r>
              <w:rPr>
                <w:sz w:val="17"/>
                <w:szCs w:val="17"/>
              </w:rPr>
              <w:t xml:space="preserve">Paid first, so not available to common.</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6</w:t>
            </w:r>
          </w:p>
        </w:tc>
        <w:tc>
          <w:tcPr>
            <w:tcMar>
              <w:top w:type="dxa" w:w="40"/>
              <w:left w:type="dxa" w:w="100"/>
              <w:bottom w:type="dxa" w:w="40"/>
              <w:right w:type="dxa" w:w="100"/>
            </w:tcMar>
          </w:tcPr>
          <w:p>
            <w:r>
              <w:rPr>
                <w:b/>
                <w:bCs/>
                <w:sz w:val="17"/>
                <w:szCs w:val="17"/>
              </w:rPr>
              <w:t xml:space="preserve">numerator</w:t>
            </w:r>
          </w:p>
        </w:tc>
        <w:tc>
          <w:tcPr>
            <w:tcMar>
              <w:top w:type="dxa" w:w="40"/>
              <w:left w:type="dxa" w:w="100"/>
              <w:bottom w:type="dxa" w:w="40"/>
              <w:right w:type="dxa" w:w="100"/>
            </w:tcMar>
          </w:tcPr>
          <w:p>
            <w:r>
              <w:rPr>
                <w:sz w:val="17"/>
                <w:szCs w:val="17"/>
              </w:rPr>
              <w:t xml:space="preserve">What is left for the common shareholders.</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7</w:t>
            </w:r>
          </w:p>
        </w:tc>
        <w:tc>
          <w:tcPr>
            <w:tcMar>
              <w:top w:type="dxa" w:w="40"/>
              <w:left w:type="dxa" w:w="100"/>
              <w:bottom w:type="dxa" w:w="40"/>
              <w:right w:type="dxa" w:w="100"/>
            </w:tcMar>
          </w:tcPr>
          <w:p>
            <w:r>
              <w:rPr>
                <w:b/>
                <w:bCs/>
                <w:sz w:val="17"/>
                <w:szCs w:val="17"/>
              </w:rPr>
              <w:t xml:space="preserve">cumulative</w:t>
            </w:r>
          </w:p>
        </w:tc>
        <w:tc>
          <w:tcPr>
            <w:tcMar>
              <w:top w:type="dxa" w:w="40"/>
              <w:left w:type="dxa" w:w="100"/>
              <w:bottom w:type="dxa" w:w="40"/>
              <w:right w:type="dxa" w:w="100"/>
            </w:tcMar>
          </w:tcPr>
          <w:p>
            <w:r>
              <w:rPr>
                <w:sz w:val="17"/>
                <w:szCs w:val="17"/>
              </w:rPr>
              <w:t xml:space="preserve">Unpaid entitlements accumulate.</w:t>
            </w:r>
          </w:p>
        </w:tc>
        <w:tc>
          <w:tcPr>
            <w:tcMar>
              <w:top w:type="dxa" w:w="40"/>
              <w:left w:type="dxa" w:w="100"/>
              <w:bottom w:type="dxa" w:w="40"/>
              <w:right w:type="dxa" w:w="100"/>
            </w:tcMar>
          </w:tcPr>
          <w:p>
            <w:r>
              <w:rPr>
                <w:color w:val="C0483F"/>
                <w:sz w:val="17"/>
                <w:szCs w:val="17"/>
              </w:rPr>
              <w:t xml:space="preserve">Students deduct only declared dividends. On cumulative preferred the requirement is deducted whether declared or not.</w:t>
            </w:r>
          </w:p>
        </w:tc>
      </w:tr>
      <w:tr>
        <w:tc>
          <w:tcPr>
            <w:shd w:fill="F5F7FC" w:val="clear"/>
            <w:tcMar>
              <w:top w:type="dxa" w:w="40"/>
              <w:left w:type="dxa" w:w="100"/>
              <w:bottom w:type="dxa" w:w="40"/>
              <w:right w:type="dxa" w:w="100"/>
            </w:tcMar>
          </w:tcPr>
          <w:p>
            <w:r>
              <w:rPr>
                <w:b/>
                <w:bCs/>
                <w:sz w:val="17"/>
                <w:szCs w:val="17"/>
              </w:rPr>
              <w:t xml:space="preserve">8</w:t>
            </w:r>
          </w:p>
        </w:tc>
        <w:tc>
          <w:tcPr>
            <w:tcMar>
              <w:top w:type="dxa" w:w="40"/>
              <w:left w:type="dxa" w:w="100"/>
              <w:bottom w:type="dxa" w:w="40"/>
              <w:right w:type="dxa" w:w="100"/>
            </w:tcMar>
          </w:tcPr>
          <w:p>
            <w:r>
              <w:rPr>
                <w:b/>
                <w:bCs/>
                <w:sz w:val="17"/>
                <w:szCs w:val="17"/>
              </w:rPr>
              <w:t xml:space="preserve">declared</w:t>
            </w:r>
          </w:p>
        </w:tc>
        <w:tc>
          <w:tcPr>
            <w:tcMar>
              <w:top w:type="dxa" w:w="40"/>
              <w:left w:type="dxa" w:w="100"/>
              <w:bottom w:type="dxa" w:w="40"/>
              <w:right w:type="dxa" w:w="100"/>
            </w:tcMar>
          </w:tcPr>
          <w:p>
            <w:r>
              <w:rPr>
                <w:sz w:val="17"/>
                <w:szCs w:val="17"/>
              </w:rPr>
              <w:t xml:space="preserve">Nothing accumulates, so nothing is owed.</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Grid 1</w:t>
            </w:r>
          </w:p>
        </w:tc>
        <w:tc>
          <w:tcPr>
            <w:tcMar>
              <w:top w:type="dxa" w:w="40"/>
              <w:left w:type="dxa" w:w="100"/>
              <w:bottom w:type="dxa" w:w="40"/>
              <w:right w:type="dxa" w:w="100"/>
            </w:tcMar>
          </w:tcPr>
          <w:p>
            <w:r>
              <w:rPr>
                <w:b/>
                <w:bCs/>
                <w:sz w:val="17"/>
                <w:szCs w:val="17"/>
              </w:rPr>
              <w:t xml:space="preserve">1 WEIGHTED FROM ITS DATE  2 APPLIED RETROACTIVELY  3 APPLIED RETROACTIVELY  4 WEIGHTED FROM ITS DATE  5 WEIGHTED FROM ITS DATE  6 APPLIED RETROACTIVELY</w:t>
            </w:r>
          </w:p>
        </w:tc>
        <w:tc>
          <w:tcPr>
            <w:tcMar>
              <w:top w:type="dxa" w:w="40"/>
              <w:left w:type="dxa" w:w="100"/>
              <w:bottom w:type="dxa" w:w="40"/>
              <w:right w:type="dxa" w:w="100"/>
            </w:tcMar>
          </w:tcPr>
          <w:p>
            <w:r>
              <w:rPr>
                <w:sz w:val="17"/>
                <w:szCs w:val="17"/>
              </w:rPr>
              <w:t xml:space="preserve">The test is whether resources changed hands. A split and a stock dividend change only the number of pieces the same company is cut into.</w:t>
            </w:r>
          </w:p>
        </w:tc>
        <w:tc>
          <w:tcPr>
            <w:tcMar>
              <w:top w:type="dxa" w:w="40"/>
              <w:left w:type="dxa" w:w="100"/>
              <w:bottom w:type="dxa" w:w="40"/>
              <w:right w:type="dxa" w:w="100"/>
            </w:tcMar>
          </w:tcPr>
          <w:p>
            <w:r>
              <w:rPr>
                <w:color w:val="6B7280"/>
                <w:sz w:val="17"/>
                <w:szCs w:val="17"/>
              </w:rPr>
              <w:t xml:space="preserve"/>
            </w:r>
          </w:p>
        </w:tc>
      </w:tr>
    </w:tbl>
    <w:p/>
    <w:p>
      <w:pPr>
        <w:spacing w:after="40" w:before="130"/>
      </w:pPr>
      <w:r>
        <w:rPr>
          <w:b/>
          <w:bCs/>
          <w:color w:val="23265A"/>
          <w:sz w:val="24"/>
          <w:szCs w:val="24"/>
        </w:rPr>
        <w:t xml:space="preserve">Exam-pitch questions</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2"/>
        <w:gridCol w:w="40"/>
        <w:gridCol w:w="33"/>
      </w:tblGrid>
      <w:tr>
        <w:tc>
          <w:tcPr>
            <w:shd w:fill="353A7C" w:val="clear"/>
            <w:tcMar>
              <w:top w:type="dxa" w:w="55"/>
              <w:left w:type="dxa" w:w="115"/>
              <w:bottom w:type="dxa" w:w="55"/>
              <w:right w:type="dxa" w:w="115"/>
            </w:tcMar>
          </w:tcPr>
          <w:p>
            <w:r>
              <w:rPr>
                <w:b/>
                <w:bCs/>
                <w:color w:val="FFFFFF"/>
                <w:sz w:val="17"/>
                <w:szCs w:val="17"/>
              </w:rPr>
              <w:t xml:space="preserve">#</w:t>
            </w:r>
          </w:p>
        </w:tc>
        <w:tc>
          <w:tcPr>
            <w:shd w:fill="353A7C" w:val="clear"/>
            <w:tcMar>
              <w:top w:type="dxa" w:w="55"/>
              <w:left w:type="dxa" w:w="115"/>
              <w:bottom w:type="dxa" w:w="55"/>
              <w:right w:type="dxa" w:w="115"/>
            </w:tcMar>
          </w:tcPr>
          <w:p>
            <w:r>
              <w:rPr>
                <w:b/>
                <w:bCs/>
                <w:color w:val="FFFFFF"/>
                <w:sz w:val="17"/>
                <w:szCs w:val="17"/>
              </w:rPr>
              <w:t xml:space="preserve">Answer</w:t>
            </w:r>
          </w:p>
        </w:tc>
        <w:tc>
          <w:tcPr>
            <w:shd w:fill="353A7C" w:val="clear"/>
            <w:tcMar>
              <w:top w:type="dxa" w:w="55"/>
              <w:left w:type="dxa" w:w="115"/>
              <w:bottom w:type="dxa" w:w="55"/>
              <w:right w:type="dxa" w:w="115"/>
            </w:tcMar>
          </w:tcPr>
          <w:p>
            <w:r>
              <w:rPr>
                <w:b/>
                <w:bCs/>
                <w:color w:val="FFFFFF"/>
                <w:sz w:val="17"/>
                <w:szCs w:val="17"/>
              </w:rPr>
              <w:t xml:space="preserve">Why</w:t>
            </w:r>
          </w:p>
        </w:tc>
        <w:tc>
          <w:tcPr>
            <w:shd w:fill="353A7C" w:val="clear"/>
            <w:tcMar>
              <w:top w:type="dxa" w:w="55"/>
              <w:left w:type="dxa" w:w="115"/>
              <w:bottom w:type="dxa" w:w="55"/>
              <w:right w:type="dxa" w:w="115"/>
            </w:tcMar>
          </w:tcPr>
          <w:p>
            <w:r>
              <w:rPr>
                <w:b/>
                <w:bCs/>
                <w:color w:val="FFFFFF"/>
                <w:sz w:val="17"/>
                <w:szCs w:val="17"/>
              </w:rPr>
              <w:t xml:space="preserve">The trap it defeats</w:t>
            </w:r>
          </w:p>
        </w:tc>
      </w:tr>
      <w:tr>
        <w:tc>
          <w:tcPr>
            <w:shd w:fill="F5F7FC" w:val="clear"/>
            <w:tcMar>
              <w:top w:type="dxa" w:w="40"/>
              <w:left w:type="dxa" w:w="100"/>
              <w:bottom w:type="dxa" w:w="40"/>
              <w:right w:type="dxa" w:w="100"/>
            </w:tcMar>
          </w:tcPr>
          <w:p>
            <w:r>
              <w:rPr>
                <w:b/>
                <w:bCs/>
                <w:sz w:val="17"/>
                <w:szCs w:val="17"/>
              </w:rPr>
              <w:t xml:space="preserve">1</w:t>
            </w:r>
          </w:p>
        </w:tc>
        <w:tc>
          <w:tcPr>
            <w:tcMar>
              <w:top w:type="dxa" w:w="40"/>
              <w:left w:type="dxa" w:w="100"/>
              <w:bottom w:type="dxa" w:w="40"/>
              <w:right w:type="dxa" w:w="100"/>
            </w:tcMar>
          </w:tcPr>
          <w:p>
            <w:r>
              <w:rPr>
                <w:b/>
                <w:bCs/>
                <w:sz w:val="17"/>
                <w:szCs w:val="17"/>
              </w:rPr>
              <w:t xml:space="preserve">(B)  Weighted average shares outstanding</w:t>
            </w:r>
          </w:p>
        </w:tc>
        <w:tc>
          <w:tcPr>
            <w:tcMar>
              <w:top w:type="dxa" w:w="40"/>
              <w:left w:type="dxa" w:w="100"/>
              <w:bottom w:type="dxa" w:w="40"/>
              <w:right w:type="dxa" w:w="100"/>
            </w:tcMar>
          </w:tcPr>
          <w:p>
            <w:r>
              <w:rPr>
                <w:sz w:val="17"/>
                <w:szCs w:val="17"/>
              </w:rPr>
              <w:t xml:space="preserve">Averaged across the period and weighted by time. (C) ignores when the shares arrived, which on Northwind’s figures would change the denominator by 5,250 shares.</w:t>
            </w:r>
          </w:p>
        </w:tc>
        <w:tc>
          <w:tcPr>
            <w:tcMar>
              <w:top w:type="dxa" w:w="40"/>
              <w:left w:type="dxa" w:w="100"/>
              <w:bottom w:type="dxa" w:w="40"/>
              <w:right w:type="dxa" w:w="100"/>
            </w:tcMar>
          </w:tcPr>
          <w:p>
            <w:r>
              <w:rPr>
                <w:color w:val="C0483F"/>
                <w:sz w:val="17"/>
                <w:szCs w:val="17"/>
              </w:rPr>
              <w:t xml:space="preserve">Level A</w:t>
            </w:r>
          </w:p>
        </w:tc>
      </w:tr>
      <w:tr>
        <w:tc>
          <w:tcPr>
            <w:shd w:fill="F5F7FC" w:val="clear"/>
            <w:tcMar>
              <w:top w:type="dxa" w:w="40"/>
              <w:left w:type="dxa" w:w="100"/>
              <w:bottom w:type="dxa" w:w="40"/>
              <w:right w:type="dxa" w:w="100"/>
            </w:tcMar>
          </w:tcPr>
          <w:p>
            <w:r>
              <w:rPr>
                <w:b/>
                <w:bCs/>
                <w:sz w:val="17"/>
                <w:szCs w:val="17"/>
              </w:rPr>
              <w:t xml:space="preserve">2</w:t>
            </w:r>
          </w:p>
        </w:tc>
        <w:tc>
          <w:tcPr>
            <w:tcMar>
              <w:top w:type="dxa" w:w="40"/>
              <w:left w:type="dxa" w:w="100"/>
              <w:bottom w:type="dxa" w:w="40"/>
              <w:right w:type="dxa" w:w="100"/>
            </w:tcMar>
          </w:tcPr>
          <w:p>
            <w:r>
              <w:rPr>
                <w:b/>
                <w:bCs/>
                <w:sz w:val="17"/>
                <w:szCs w:val="17"/>
              </w:rPr>
              <w:t xml:space="preserve">(B)  295,000</w:t>
            </w:r>
          </w:p>
        </w:tc>
        <w:tc>
          <w:tcPr>
            <w:tcMar>
              <w:top w:type="dxa" w:w="40"/>
              <w:left w:type="dxa" w:w="100"/>
              <w:bottom w:type="dxa" w:w="40"/>
              <w:right w:type="dxa" w:w="100"/>
            </w:tcMar>
          </w:tcPr>
          <w:p>
            <w:r>
              <w:rPr>
                <w:sz w:val="17"/>
                <w:szCs w:val="17"/>
              </w:rPr>
              <w:t xml:space="preserve">Nine of twelve months is a weight of 0.75, so 15,000 of the new shares count. (A) treats a share issued in April as though it had been there since January.</w:t>
            </w:r>
          </w:p>
        </w:tc>
        <w:tc>
          <w:tcPr>
            <w:tcMar>
              <w:top w:type="dxa" w:w="40"/>
              <w:left w:type="dxa" w:w="100"/>
              <w:bottom w:type="dxa" w:w="40"/>
              <w:right w:type="dxa" w:w="100"/>
            </w:tcMar>
          </w:tcPr>
          <w:p>
            <w:r>
              <w:rPr>
                <w:color w:val="C0483F"/>
                <w:sz w:val="17"/>
                <w:szCs w:val="17"/>
              </w:rPr>
              <w:t xml:space="preserve">Level A</w:t>
            </w:r>
          </w:p>
        </w:tc>
      </w:tr>
      <w:tr>
        <w:tc>
          <w:tcPr>
            <w:shd w:fill="F5F7FC" w:val="clear"/>
            <w:tcMar>
              <w:top w:type="dxa" w:w="40"/>
              <w:left w:type="dxa" w:w="100"/>
              <w:bottom w:type="dxa" w:w="40"/>
              <w:right w:type="dxa" w:w="100"/>
            </w:tcMar>
          </w:tcPr>
          <w:p>
            <w:r>
              <w:rPr>
                <w:b/>
                <w:bCs/>
                <w:sz w:val="17"/>
                <w:szCs w:val="17"/>
              </w:rPr>
              <w:t xml:space="preserve">3</w:t>
            </w:r>
          </w:p>
        </w:tc>
        <w:tc>
          <w:tcPr>
            <w:tcMar>
              <w:top w:type="dxa" w:w="40"/>
              <w:left w:type="dxa" w:w="100"/>
              <w:bottom w:type="dxa" w:w="40"/>
              <w:right w:type="dxa" w:w="100"/>
            </w:tcMar>
          </w:tcPr>
          <w:p>
            <w:r>
              <w:rPr>
                <w:b/>
                <w:bCs/>
                <w:sz w:val="17"/>
                <w:szCs w:val="17"/>
              </w:rPr>
              <w:t xml:space="preserve">(B)  Preferred dividends</w:t>
            </w:r>
          </w:p>
        </w:tc>
        <w:tc>
          <w:tcPr>
            <w:tcMar>
              <w:top w:type="dxa" w:w="40"/>
              <w:left w:type="dxa" w:w="100"/>
              <w:bottom w:type="dxa" w:w="40"/>
              <w:right w:type="dxa" w:w="100"/>
            </w:tcMar>
          </w:tcPr>
          <w:p>
            <w:r>
              <w:rPr>
                <w:sz w:val="17"/>
                <w:szCs w:val="17"/>
              </w:rPr>
              <w:t xml:space="preserve">Only the preferred claim ranks ahead of the common shareholders. (A) is the common dividend, which is a distribution of what the measure is trying to express.</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4</w:t>
            </w:r>
          </w:p>
        </w:tc>
        <w:tc>
          <w:tcPr>
            <w:tcMar>
              <w:top w:type="dxa" w:w="40"/>
              <w:left w:type="dxa" w:w="100"/>
              <w:bottom w:type="dxa" w:w="40"/>
              <w:right w:type="dxa" w:w="100"/>
            </w:tcMar>
          </w:tcPr>
          <w:p>
            <w:r>
              <w:rPr>
                <w:b/>
                <w:bCs/>
                <w:sz w:val="17"/>
                <w:szCs w:val="17"/>
              </w:rPr>
              <w:t xml:space="preserve">(B)  Applied to the whole year and to every prior year presented</w:t>
            </w:r>
          </w:p>
        </w:tc>
        <w:tc>
          <w:tcPr>
            <w:tcMar>
              <w:top w:type="dxa" w:w="40"/>
              <w:left w:type="dxa" w:w="100"/>
              <w:bottom w:type="dxa" w:w="40"/>
              <w:right w:type="dxa" w:w="100"/>
            </w:tcMar>
          </w:tcPr>
          <w:p>
            <w:r>
              <w:rPr>
                <w:sz w:val="17"/>
                <w:szCs w:val="17"/>
              </w:rPr>
              <w:t xml:space="preserve">No resources were received, so the restatement is retroactive and comparability is preserved. (A) applies the weighting rule meant for issues that bring in cash.</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5</w:t>
            </w:r>
          </w:p>
        </w:tc>
        <w:tc>
          <w:tcPr>
            <w:tcMar>
              <w:top w:type="dxa" w:w="40"/>
              <w:left w:type="dxa" w:w="100"/>
              <w:bottom w:type="dxa" w:w="40"/>
              <w:right w:type="dxa" w:w="100"/>
            </w:tcMar>
          </w:tcPr>
          <w:p>
            <w:r>
              <w:rPr>
                <w:b/>
                <w:bCs/>
                <w:sz w:val="17"/>
                <w:szCs w:val="17"/>
              </w:rPr>
              <w:t xml:space="preserve">(B)  Deducts the annual preferred requirement anyway</w:t>
            </w:r>
          </w:p>
        </w:tc>
        <w:tc>
          <w:tcPr>
            <w:tcMar>
              <w:top w:type="dxa" w:w="40"/>
              <w:left w:type="dxa" w:w="100"/>
              <w:bottom w:type="dxa" w:w="40"/>
              <w:right w:type="dxa" w:w="100"/>
            </w:tcMar>
          </w:tcPr>
          <w:p>
            <w:r>
              <w:rPr>
                <w:sz w:val="17"/>
                <w:szCs w:val="17"/>
              </w:rPr>
              <w:t xml:space="preserve">A cumulative entitlement accumulates whether declared or not, so it is not available to common shareholders. (A) is the answer for non-cumulative preferred, and the exam states which kind it means.</w:t>
            </w:r>
          </w:p>
        </w:tc>
        <w:tc>
          <w:tcPr>
            <w:tcMar>
              <w:top w:type="dxa" w:w="40"/>
              <w:left w:type="dxa" w:w="100"/>
              <w:bottom w:type="dxa" w:w="40"/>
              <w:right w:type="dxa" w:w="100"/>
            </w:tcMar>
          </w:tcPr>
          <w:p>
            <w:r>
              <w:rPr>
                <w:color w:val="C0483F"/>
                <w:sz w:val="17"/>
                <w:szCs w:val="17"/>
              </w:rPr>
              <w:t xml:space="preserve">Level C</w:t>
            </w:r>
          </w:p>
        </w:tc>
      </w:tr>
      <w:tr>
        <w:tc>
          <w:tcPr>
            <w:shd w:fill="F5F7FC" w:val="clear"/>
            <w:tcMar>
              <w:top w:type="dxa" w:w="40"/>
              <w:left w:type="dxa" w:w="100"/>
              <w:bottom w:type="dxa" w:w="40"/>
              <w:right w:type="dxa" w:w="100"/>
            </w:tcMar>
          </w:tcPr>
          <w:p>
            <w:r>
              <w:rPr>
                <w:b/>
                <w:bCs/>
                <w:sz w:val="17"/>
                <w:szCs w:val="17"/>
              </w:rPr>
              <w:t xml:space="preserve">6</w:t>
            </w:r>
          </w:p>
        </w:tc>
        <w:tc>
          <w:tcPr>
            <w:tcMar>
              <w:top w:type="dxa" w:w="40"/>
              <w:left w:type="dxa" w:w="100"/>
              <w:bottom w:type="dxa" w:w="40"/>
              <w:right w:type="dxa" w:w="100"/>
            </w:tcMar>
          </w:tcPr>
          <w:p>
            <w:r>
              <w:rPr>
                <w:b/>
                <w:bCs/>
                <w:sz w:val="17"/>
                <w:szCs w:val="17"/>
              </w:rPr>
              <w:t xml:space="preserve">(B)  The denominator fell while the numerator did not</w:t>
            </w:r>
          </w:p>
        </w:tc>
        <w:tc>
          <w:tcPr>
            <w:tcMar>
              <w:top w:type="dxa" w:w="40"/>
              <w:left w:type="dxa" w:w="100"/>
              <w:bottom w:type="dxa" w:w="40"/>
              <w:right w:type="dxa" w:w="100"/>
            </w:tcMar>
          </w:tcPr>
          <w:p>
            <w:r>
              <w:rPr>
                <w:sz w:val="17"/>
                <w:szCs w:val="17"/>
              </w:rPr>
              <w:t xml:space="preserve">A buy-back reduces the weighted average without earning anything more. (A) is exactly the inference the measure invites and the reason a reader should look at both halves of it.</w:t>
            </w:r>
          </w:p>
        </w:tc>
        <w:tc>
          <w:tcPr>
            <w:tcMar>
              <w:top w:type="dxa" w:w="40"/>
              <w:left w:type="dxa" w:w="100"/>
              <w:bottom w:type="dxa" w:w="40"/>
              <w:right w:type="dxa" w:w="100"/>
            </w:tcMar>
          </w:tcPr>
          <w:p>
            <w:r>
              <w:rPr>
                <w:color w:val="C0483F"/>
                <w:sz w:val="17"/>
                <w:szCs w:val="17"/>
              </w:rPr>
              <w:t xml:space="preserve">Level C</w:t>
            </w:r>
          </w:p>
        </w:tc>
      </w:tr>
      <w:tr>
        <w:tc>
          <w:tcPr>
            <w:shd w:fill="F5F7FC" w:val="clear"/>
            <w:tcMar>
              <w:top w:type="dxa" w:w="40"/>
              <w:left w:type="dxa" w:w="100"/>
              <w:bottom w:type="dxa" w:w="40"/>
              <w:right w:type="dxa" w:w="100"/>
            </w:tcMar>
          </w:tcPr>
          <w:p>
            <w:r>
              <w:rPr>
                <w:b/>
                <w:bCs/>
                <w:sz w:val="17"/>
                <w:szCs w:val="17"/>
              </w:rPr>
              <w:t xml:space="preserve">7</w:t>
            </w:r>
          </w:p>
        </w:tc>
        <w:tc>
          <w:tcPr>
            <w:tcMar>
              <w:top w:type="dxa" w:w="40"/>
              <w:left w:type="dxa" w:w="100"/>
              <w:bottom w:type="dxa" w:w="40"/>
              <w:right w:type="dxa" w:w="100"/>
            </w:tcMar>
          </w:tcPr>
          <w:p>
            <w:r>
              <w:rPr>
                <w:b/>
                <w:bCs/>
                <w:sz w:val="17"/>
                <w:szCs w:val="17"/>
              </w:rPr>
              <w:t xml:space="preserve">(B)  Cash flow per share</w:t>
            </w:r>
          </w:p>
        </w:tc>
        <w:tc>
          <w:tcPr>
            <w:tcMar>
              <w:top w:type="dxa" w:w="40"/>
              <w:left w:type="dxa" w:w="100"/>
              <w:bottom w:type="dxa" w:w="40"/>
              <w:right w:type="dxa" w:w="100"/>
            </w:tcMar>
          </w:tcPr>
          <w:p>
            <w:r>
              <w:rPr>
                <w:sz w:val="17"/>
                <w:szCs w:val="17"/>
              </w:rPr>
              <w:t xml:space="preserve">Cash flow per share is prohibited, because it invites readers to treat it as a substitute for earnings per share when the two measure quite different things.</w:t>
            </w:r>
          </w:p>
        </w:tc>
        <w:tc>
          <w:tcPr>
            <w:tcMar>
              <w:top w:type="dxa" w:w="40"/>
              <w:left w:type="dxa" w:w="100"/>
              <w:bottom w:type="dxa" w:w="40"/>
              <w:right w:type="dxa" w:w="100"/>
            </w:tcMar>
          </w:tcPr>
          <w:p>
            <w:r>
              <w:rPr>
                <w:color w:val="C0483F"/>
                <w:sz w:val="17"/>
                <w:szCs w:val="17"/>
              </w:rPr>
              <w:t xml:space="preserve">Level B</w:t>
            </w:r>
          </w:p>
        </w:tc>
      </w:tr>
    </w:tbl>
    <w:p/>
    <w:p>
      <w:pPr>
        <w:spacing w:after="40" w:before="130"/>
      </w:pPr>
      <w:r>
        <w:rPr>
          <w:b/>
          <w:bCs/>
          <w:color w:val="23265A"/>
          <w:sz w:val="24"/>
          <w:szCs w:val="24"/>
        </w:rPr>
        <w:t xml:space="preserve">Exercise 1B · the weighted average, computed</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34"/>
        <w:gridCol w:w="20"/>
        <w:gridCol w:w="24"/>
        <w:gridCol w:w="22"/>
      </w:tblGrid>
      <w:tr>
        <w:tc>
          <w:tcPr>
            <w:shd w:fill="2E7D5B" w:val="clear"/>
            <w:tcMar>
              <w:top w:type="dxa" w:w="60"/>
              <w:left w:type="dxa" w:w="120"/>
              <w:bottom w:type="dxa" w:w="60"/>
              <w:right w:type="dxa" w:w="120"/>
            </w:tcMar>
          </w:tcPr>
          <w:p>
            <w:r>
              <w:rPr>
                <w:b/>
                <w:bCs/>
                <w:color w:val="FFFFFF"/>
                <w:sz w:val="19"/>
                <w:szCs w:val="19"/>
              </w:rPr>
              <w:t xml:space="preserve">Movement in 20X4</w:t>
            </w:r>
          </w:p>
        </w:tc>
        <w:tc>
          <w:tcPr>
            <w:shd w:fill="2E7D5B" w:val="clear"/>
            <w:tcMar>
              <w:top w:type="dxa" w:w="60"/>
              <w:left w:type="dxa" w:w="120"/>
              <w:bottom w:type="dxa" w:w="60"/>
              <w:right w:type="dxa" w:w="120"/>
            </w:tcMar>
          </w:tcPr>
          <w:p>
            <w:r>
              <w:rPr>
                <w:b/>
                <w:bCs/>
                <w:color w:val="FFFFFF"/>
                <w:sz w:val="19"/>
                <w:szCs w:val="19"/>
              </w:rPr>
              <w:t xml:space="preserve">Shares</w:t>
            </w:r>
          </w:p>
        </w:tc>
        <w:tc>
          <w:tcPr>
            <w:shd w:fill="2E7D5B" w:val="clear"/>
            <w:tcMar>
              <w:top w:type="dxa" w:w="60"/>
              <w:left w:type="dxa" w:w="120"/>
              <w:bottom w:type="dxa" w:w="60"/>
              <w:right w:type="dxa" w:w="120"/>
            </w:tcMar>
          </w:tcPr>
          <w:p>
            <w:r>
              <w:rPr>
                <w:b/>
                <w:bCs/>
                <w:color w:val="FFFFFF"/>
                <w:sz w:val="19"/>
                <w:szCs w:val="19"/>
              </w:rPr>
              <w:t xml:space="preserve">Months outstanding</w:t>
            </w:r>
          </w:p>
        </w:tc>
        <w:tc>
          <w:tcPr>
            <w:shd w:fill="2E7D5B" w:val="clear"/>
            <w:tcMar>
              <w:top w:type="dxa" w:w="60"/>
              <w:left w:type="dxa" w:w="120"/>
              <w:bottom w:type="dxa" w:w="60"/>
              <w:right w:type="dxa" w:w="120"/>
            </w:tcMar>
          </w:tcPr>
          <w:p>
            <w:r>
              <w:rPr>
                <w:b/>
                <w:bCs/>
                <w:color w:val="FFFFFF"/>
                <w:sz w:val="19"/>
                <w:szCs w:val="19"/>
              </w:rPr>
              <w:t xml:space="preserve">Weighted</w:t>
            </w:r>
          </w:p>
        </w:tc>
      </w:tr>
      <w:tr>
        <w:tc>
          <w:tcPr>
            <w:tcMar>
              <w:top w:type="dxa" w:w="60"/>
              <w:left w:type="dxa" w:w="120"/>
              <w:bottom w:type="dxa" w:w="60"/>
              <w:right w:type="dxa" w:w="120"/>
            </w:tcMar>
          </w:tcPr>
          <w:p>
            <w:r>
              <w:rPr>
                <w:sz w:val="19"/>
                <w:szCs w:val="19"/>
              </w:rPr>
              <w:t xml:space="preserve">Outstanding at 1 January</w:t>
            </w:r>
          </w:p>
        </w:tc>
        <w:tc>
          <w:tcPr>
            <w:tcMar>
              <w:top w:type="dxa" w:w="60"/>
              <w:left w:type="dxa" w:w="120"/>
              <w:bottom w:type="dxa" w:w="60"/>
              <w:right w:type="dxa" w:w="120"/>
            </w:tcMar>
          </w:tcPr>
          <w:p>
            <w:r>
              <w:rPr>
                <w:sz w:val="19"/>
                <w:szCs w:val="19"/>
              </w:rPr>
              <w:t xml:space="preserve">280,000</w:t>
            </w:r>
          </w:p>
        </w:tc>
        <w:tc>
          <w:tcPr>
            <w:tcMar>
              <w:top w:type="dxa" w:w="60"/>
              <w:left w:type="dxa" w:w="120"/>
              <w:bottom w:type="dxa" w:w="60"/>
              <w:right w:type="dxa" w:w="120"/>
            </w:tcMar>
          </w:tcPr>
          <w:p>
            <w:r>
              <w:rPr>
                <w:sz w:val="19"/>
                <w:szCs w:val="19"/>
              </w:rPr>
              <w:t xml:space="preserve">12 of 12</w:t>
            </w:r>
          </w:p>
        </w:tc>
        <w:tc>
          <w:tcPr>
            <w:tcMar>
              <w:top w:type="dxa" w:w="60"/>
              <w:left w:type="dxa" w:w="120"/>
              <w:bottom w:type="dxa" w:w="60"/>
              <w:right w:type="dxa" w:w="120"/>
            </w:tcMar>
          </w:tcPr>
          <w:p>
            <w:r>
              <w:rPr>
                <w:sz w:val="19"/>
                <w:szCs w:val="19"/>
              </w:rPr>
              <w:t xml:space="preserve">280,000</w:t>
            </w:r>
          </w:p>
        </w:tc>
      </w:tr>
      <w:tr>
        <w:tc>
          <w:tcPr>
            <w:tcMar>
              <w:top w:type="dxa" w:w="60"/>
              <w:left w:type="dxa" w:w="120"/>
              <w:bottom w:type="dxa" w:w="60"/>
              <w:right w:type="dxa" w:w="120"/>
            </w:tcMar>
          </w:tcPr>
          <w:p>
            <w:r>
              <w:rPr>
                <w:sz w:val="19"/>
                <w:szCs w:val="19"/>
              </w:rPr>
              <w:t xml:space="preserve">Issued 1 April</w:t>
            </w:r>
          </w:p>
        </w:tc>
        <w:tc>
          <w:tcPr>
            <w:tcMar>
              <w:top w:type="dxa" w:w="60"/>
              <w:left w:type="dxa" w:w="120"/>
              <w:bottom w:type="dxa" w:w="60"/>
              <w:right w:type="dxa" w:w="120"/>
            </w:tcMar>
          </w:tcPr>
          <w:p>
            <w:r>
              <w:rPr>
                <w:sz w:val="19"/>
                <w:szCs w:val="19"/>
              </w:rPr>
              <w:t xml:space="preserve">20,000</w:t>
            </w:r>
          </w:p>
        </w:tc>
        <w:tc>
          <w:tcPr>
            <w:tcMar>
              <w:top w:type="dxa" w:w="60"/>
              <w:left w:type="dxa" w:w="120"/>
              <w:bottom w:type="dxa" w:w="60"/>
              <w:right w:type="dxa" w:w="120"/>
            </w:tcMar>
          </w:tcPr>
          <w:p>
            <w:r>
              <w:rPr>
                <w:sz w:val="19"/>
                <w:szCs w:val="19"/>
              </w:rPr>
              <w:t xml:space="preserve">9 of 12</w:t>
            </w:r>
          </w:p>
        </w:tc>
        <w:tc>
          <w:tcPr>
            <w:tcMar>
              <w:top w:type="dxa" w:w="60"/>
              <w:left w:type="dxa" w:w="120"/>
              <w:bottom w:type="dxa" w:w="60"/>
              <w:right w:type="dxa" w:w="120"/>
            </w:tcMar>
          </w:tcPr>
          <w:p>
            <w:r>
              <w:rPr>
                <w:sz w:val="19"/>
                <w:szCs w:val="19"/>
              </w:rPr>
              <w:t xml:space="preserve">15,000</w:t>
            </w:r>
          </w:p>
        </w:tc>
      </w:tr>
      <w:tr>
        <w:tc>
          <w:tcPr>
            <w:tcMar>
              <w:top w:type="dxa" w:w="60"/>
              <w:left w:type="dxa" w:w="120"/>
              <w:bottom w:type="dxa" w:w="60"/>
              <w:right w:type="dxa" w:w="120"/>
            </w:tcMar>
          </w:tcPr>
          <w:p>
            <w:r>
              <w:rPr>
                <w:sz w:val="19"/>
                <w:szCs w:val="19"/>
              </w:rPr>
              <w:t xml:space="preserve">Bought back 1 July</w:t>
            </w:r>
          </w:p>
        </w:tc>
        <w:tc>
          <w:tcPr>
            <w:tcMar>
              <w:top w:type="dxa" w:w="60"/>
              <w:left w:type="dxa" w:w="120"/>
              <w:bottom w:type="dxa" w:w="60"/>
              <w:right w:type="dxa" w:w="120"/>
            </w:tcMar>
          </w:tcPr>
          <w:p>
            <w:r>
              <w:rPr>
                <w:sz w:val="19"/>
                <w:szCs w:val="19"/>
              </w:rPr>
              <w:t xml:space="preserve">-10,000</w:t>
            </w:r>
          </w:p>
        </w:tc>
        <w:tc>
          <w:tcPr>
            <w:tcMar>
              <w:top w:type="dxa" w:w="60"/>
              <w:left w:type="dxa" w:w="120"/>
              <w:bottom w:type="dxa" w:w="60"/>
              <w:right w:type="dxa" w:w="120"/>
            </w:tcMar>
          </w:tcPr>
          <w:p>
            <w:r>
              <w:rPr>
                <w:sz w:val="19"/>
                <w:szCs w:val="19"/>
              </w:rPr>
              <w:t xml:space="preserve">6 of 12</w:t>
            </w:r>
          </w:p>
        </w:tc>
        <w:tc>
          <w:tcPr>
            <w:tcMar>
              <w:top w:type="dxa" w:w="60"/>
              <w:left w:type="dxa" w:w="120"/>
              <w:bottom w:type="dxa" w:w="60"/>
              <w:right w:type="dxa" w:w="120"/>
            </w:tcMar>
          </w:tcPr>
          <w:p>
            <w:r>
              <w:rPr>
                <w:sz w:val="19"/>
                <w:szCs w:val="19"/>
              </w:rPr>
              <w:t xml:space="preserve">-5,000</w:t>
            </w:r>
          </w:p>
        </w:tc>
      </w:tr>
      <w:tr>
        <w:tc>
          <w:tcPr>
            <w:tcMar>
              <w:top w:type="dxa" w:w="60"/>
              <w:left w:type="dxa" w:w="120"/>
              <w:bottom w:type="dxa" w:w="60"/>
              <w:right w:type="dxa" w:w="120"/>
            </w:tcMar>
          </w:tcPr>
          <w:p>
            <w:r>
              <w:rPr>
                <w:sz w:val="19"/>
                <w:szCs w:val="19"/>
              </w:rPr>
              <w:t xml:space="preserve">Reissued 1 October</w:t>
            </w:r>
          </w:p>
        </w:tc>
        <w:tc>
          <w:tcPr>
            <w:tcMar>
              <w:top w:type="dxa" w:w="60"/>
              <w:left w:type="dxa" w:w="120"/>
              <w:bottom w:type="dxa" w:w="60"/>
              <w:right w:type="dxa" w:w="120"/>
            </w:tcMar>
          </w:tcPr>
          <w:p>
            <w:r>
              <w:rPr>
                <w:sz w:val="19"/>
                <w:szCs w:val="19"/>
              </w:rPr>
              <w:t xml:space="preserve">7,000</w:t>
            </w:r>
          </w:p>
        </w:tc>
        <w:tc>
          <w:tcPr>
            <w:tcMar>
              <w:top w:type="dxa" w:w="60"/>
              <w:left w:type="dxa" w:w="120"/>
              <w:bottom w:type="dxa" w:w="60"/>
              <w:right w:type="dxa" w:w="120"/>
            </w:tcMar>
          </w:tcPr>
          <w:p>
            <w:r>
              <w:rPr>
                <w:sz w:val="19"/>
                <w:szCs w:val="19"/>
              </w:rPr>
              <w:t xml:space="preserve">3 of 12</w:t>
            </w:r>
          </w:p>
        </w:tc>
        <w:tc>
          <w:tcPr>
            <w:tcMar>
              <w:top w:type="dxa" w:w="60"/>
              <w:left w:type="dxa" w:w="120"/>
              <w:bottom w:type="dxa" w:w="60"/>
              <w:right w:type="dxa" w:w="120"/>
            </w:tcMar>
          </w:tcPr>
          <w:p>
            <w:r>
              <w:rPr>
                <w:sz w:val="19"/>
                <w:szCs w:val="19"/>
              </w:rPr>
              <w:t xml:space="preserve">1,750</w:t>
            </w:r>
          </w:p>
        </w:tc>
      </w:tr>
      <w:tr>
        <w:tc>
          <w:tcPr>
            <w:tcMar>
              <w:top w:type="dxa" w:w="60"/>
              <w:left w:type="dxa" w:w="120"/>
              <w:bottom w:type="dxa" w:w="60"/>
              <w:right w:type="dxa" w:w="120"/>
            </w:tcMar>
          </w:tcPr>
          <w:p>
            <w:r>
              <w:rPr>
                <w:sz w:val="19"/>
                <w:szCs w:val="19"/>
              </w:rPr>
              <w:t xml:space="preserve">Weighted average shares outstanding</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291,750</w:t>
            </w:r>
          </w:p>
        </w:tc>
      </w:tr>
    </w:tbl>
    <w:p/>
    <w:p>
      <w:pPr>
        <w:spacing w:after="40" w:before="130"/>
      </w:pPr>
      <w:r>
        <w:rPr>
          <w:b/>
          <w:bCs/>
          <w:color w:val="23265A"/>
          <w:sz w:val="24"/>
          <w:szCs w:val="24"/>
        </w:rPr>
        <w:t xml:space="preserve">Exercise 1E · the presentation</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44"/>
        <w:gridCol w:w="28"/>
        <w:gridCol w:w="28"/>
      </w:tblGrid>
      <w:tr>
        <w:tc>
          <w:tcPr>
            <w:shd w:fill="1F6F8F" w:val="clear"/>
            <w:tcMar>
              <w:top w:type="dxa" w:w="60"/>
              <w:left w:type="dxa" w:w="120"/>
              <w:bottom w:type="dxa" w:w="60"/>
              <w:right w:type="dxa" w:w="120"/>
            </w:tcMar>
          </w:tcPr>
          <w:p>
            <w:r>
              <w:rPr>
                <w:b/>
                <w:bCs/>
                <w:color w:val="FFFFFF"/>
                <w:sz w:val="19"/>
                <w:szCs w:val="19"/>
              </w:rPr>
              <w:t xml:space="preserve">Earnings per share for 20X4</w:t>
            </w:r>
          </w:p>
        </w:tc>
        <w:tc>
          <w:tcPr>
            <w:shd w:fill="1F6F8F" w:val="clear"/>
            <w:tcMar>
              <w:top w:type="dxa" w:w="60"/>
              <w:left w:type="dxa" w:w="120"/>
              <w:bottom w:type="dxa" w:w="60"/>
              <w:right w:type="dxa" w:w="120"/>
            </w:tcMar>
          </w:tcPr>
          <w:p>
            <w:r>
              <w:rPr>
                <w:b/>
                <w:bCs/>
                <w:color w:val="FFFFFF"/>
                <w:sz w:val="19"/>
                <w:szCs w:val="19"/>
              </w:rPr>
              <w:t xml:space="preserve">Amount</w:t>
            </w:r>
          </w:p>
        </w:tc>
        <w:tc>
          <w:tcPr>
            <w:shd w:fill="1F6F8F" w:val="clear"/>
            <w:tcMar>
              <w:top w:type="dxa" w:w="60"/>
              <w:left w:type="dxa" w:w="120"/>
              <w:bottom w:type="dxa" w:w="60"/>
              <w:right w:type="dxa" w:w="120"/>
            </w:tcMar>
          </w:tcPr>
          <w:p>
            <w:r>
              <w:rPr>
                <w:b/>
                <w:bCs/>
                <w:color w:val="FFFFFF"/>
                <w:sz w:val="19"/>
                <w:szCs w:val="19"/>
              </w:rPr>
              <w:t xml:space="preserve">Per share</w:t>
            </w:r>
          </w:p>
        </w:tc>
      </w:tr>
      <w:tr>
        <w:tc>
          <w:tcPr>
            <w:tcMar>
              <w:top w:type="dxa" w:w="60"/>
              <w:left w:type="dxa" w:w="120"/>
              <w:bottom w:type="dxa" w:w="60"/>
              <w:right w:type="dxa" w:w="120"/>
            </w:tcMar>
          </w:tcPr>
          <w:p>
            <w:r>
              <w:rPr>
                <w:sz w:val="19"/>
                <w:szCs w:val="19"/>
              </w:rPr>
              <w:t xml:space="preserve">Income from continuing operations</w:t>
            </w:r>
          </w:p>
        </w:tc>
        <w:tc>
          <w:tcPr>
            <w:tcMar>
              <w:top w:type="dxa" w:w="60"/>
              <w:left w:type="dxa" w:w="120"/>
              <w:bottom w:type="dxa" w:w="60"/>
              <w:right w:type="dxa" w:w="120"/>
            </w:tcMar>
          </w:tcPr>
          <w:p>
            <w:r>
              <w:rPr>
                <w:sz w:val="19"/>
                <w:szCs w:val="19"/>
              </w:rPr>
              <w:t xml:space="preserve">$510,000</w:t>
            </w:r>
          </w:p>
        </w:tc>
        <w:tc>
          <w:tcPr>
            <w:tcMar>
              <w:top w:type="dxa" w:w="60"/>
              <w:left w:type="dxa" w:w="120"/>
              <w:bottom w:type="dxa" w:w="60"/>
              <w:right w:type="dxa" w:w="120"/>
            </w:tcMar>
          </w:tcPr>
          <w:p>
            <w:r>
              <w:rPr>
                <w:sz w:val="19"/>
                <w:szCs w:val="19"/>
              </w:rPr>
              <w:t xml:space="preserve">$1.75</w:t>
            </w:r>
          </w:p>
        </w:tc>
      </w:tr>
      <w:tr>
        <w:tc>
          <w:tcPr>
            <w:tcMar>
              <w:top w:type="dxa" w:w="60"/>
              <w:left w:type="dxa" w:w="120"/>
              <w:bottom w:type="dxa" w:w="60"/>
              <w:right w:type="dxa" w:w="120"/>
            </w:tcMar>
          </w:tcPr>
          <w:p>
            <w:r>
              <w:rPr>
                <w:sz w:val="19"/>
                <w:szCs w:val="19"/>
              </w:rPr>
              <w:t xml:space="preserve">Loss from discontinued operations, net of tax</w:t>
            </w:r>
          </w:p>
        </w:tc>
        <w:tc>
          <w:tcPr>
            <w:tcMar>
              <w:top w:type="dxa" w:w="60"/>
              <w:left w:type="dxa" w:w="120"/>
              <w:bottom w:type="dxa" w:w="60"/>
              <w:right w:type="dxa" w:w="120"/>
            </w:tcMar>
          </w:tcPr>
          <w:p>
            <w:r>
              <w:rPr>
                <w:sz w:val="19"/>
                <w:szCs w:val="19"/>
              </w:rPr>
              <w:t xml:space="preserve">($150,000)</w:t>
            </w:r>
          </w:p>
        </w:tc>
        <w:tc>
          <w:tcPr>
            <w:tcMar>
              <w:top w:type="dxa" w:w="60"/>
              <w:left w:type="dxa" w:w="120"/>
              <w:bottom w:type="dxa" w:w="60"/>
              <w:right w:type="dxa" w:w="120"/>
            </w:tcMar>
          </w:tcPr>
          <w:p>
            <w:r>
              <w:rPr>
                <w:sz w:val="19"/>
                <w:szCs w:val="19"/>
              </w:rPr>
              <w:t xml:space="preserve">$-0.51</w:t>
            </w:r>
          </w:p>
        </w:tc>
      </w:tr>
      <w:tr>
        <w:tc>
          <w:tcPr>
            <w:tcMar>
              <w:top w:type="dxa" w:w="60"/>
              <w:left w:type="dxa" w:w="120"/>
              <w:bottom w:type="dxa" w:w="60"/>
              <w:right w:type="dxa" w:w="120"/>
            </w:tcMar>
          </w:tcPr>
          <w:p>
            <w:r>
              <w:rPr>
                <w:sz w:val="19"/>
                <w:szCs w:val="19"/>
              </w:rPr>
              <w:t xml:space="preserve">Net income</w:t>
            </w:r>
          </w:p>
        </w:tc>
        <w:tc>
          <w:tcPr>
            <w:tcMar>
              <w:top w:type="dxa" w:w="60"/>
              <w:left w:type="dxa" w:w="120"/>
              <w:bottom w:type="dxa" w:w="60"/>
              <w:right w:type="dxa" w:w="120"/>
            </w:tcMar>
          </w:tcPr>
          <w:p>
            <w:r>
              <w:rPr>
                <w:sz w:val="19"/>
                <w:szCs w:val="19"/>
              </w:rPr>
              <w:t xml:space="preserve">$360,000</w:t>
            </w:r>
          </w:p>
        </w:tc>
        <w:tc>
          <w:tcPr>
            <w:tcMar>
              <w:top w:type="dxa" w:w="60"/>
              <w:left w:type="dxa" w:w="120"/>
              <w:bottom w:type="dxa" w:w="60"/>
              <w:right w:type="dxa" w:w="120"/>
            </w:tcMar>
          </w:tcPr>
          <w:p>
            <w:r>
              <w:rPr>
                <w:sz w:val="19"/>
                <w:szCs w:val="19"/>
              </w:rPr>
              <w:t xml:space="preserve">$1.23</w:t>
            </w:r>
          </w:p>
        </w:tc>
      </w:tr>
    </w:tbl>
    <w:p/>
    <w:p>
      <w:pPr>
        <w:spacing w:before="40" w:after="110" w:line="300" w:lineRule="auto"/>
      </w:pPr>
      <w:r>
        <w:rPr>
          <w:b/>
          <w:color w:val="2B6CB0"/>
          <w:sz w:val="13"/>
        </w:rPr>
        <w:t xml:space="preserve">R2  </w:t>
      </w:r>
      <w:r>
        <w:rPr>
          <w:sz w:val="21"/>
          <w:szCs w:val="21"/>
        </w:rPr>
        <w:t xml:space="preserve">Every figure in the first table came from Volume 8: 280,000 shares at 1 January from Volume 1’s $280,000 of $1 par stock, the 20,000 issued in Handout 1, and the 10,000 bought back and 7,000 reissued in Handout 2. Only the four dates were added here.</w:t>
      </w:r>
    </w:p>
    <w:p>
      <w:pPr>
        <w:spacing w:before="40" w:after="110" w:line="300" w:lineRule="auto"/>
      </w:pPr>
      <w:r>
        <w:rPr>
          <w:b/>
          <w:color w:val="2B6CB0"/>
          <w:sz w:val="13"/>
        </w:rPr>
        <w:t xml:space="preserve">R2  </w:t>
      </w:r>
      <w:r>
        <w:rPr>
          <w:sz w:val="21"/>
          <w:szCs w:val="21"/>
        </w:rPr>
        <w:t xml:space="preserve">The weighted average of 291,750 sits between the opening 280,000 and the closing 297,000, which is the sanity check worth running. An answer outside that range has a sign error in it, usually on the buy-back line.</w:t>
      </w:r>
    </w:p>
    <w:p>
      <w:pPr>
        <w:sectPr>
          <w:headerReference w:type="default" r:id="rIdHdr5"/>
          <w:pgSz w:w="11906" w:h="16838" w:orient="portrait"/>
          <w:pgMar w:top="1180" w:right="1000" w:bottom="900" w:left="1000" w:header="708" w:footer="708" w:gutter="0"/>
          <w:docGrid w:linePitch="360"/>
          <w:pgNumType/>
        </w:sectPr>
      </w:pPr>
    </w:p>
    <w:p>
      <w:pPr>
        <w:shd w:fill="353A7C" w:val="clear"/>
        <w:spacing w:after="80" w:before="230"/>
      </w:pPr>
      <w:r>
        <w:rPr>
          <w:b/>
          <w:bCs/>
          <w:color w:val="FFFFFF"/>
          <w:sz w:val="26"/>
          <w:szCs w:val="26"/>
        </w:rPr>
        <w:t xml:space="preserve">  Handout 2 · Dilution: Options, Warrants and the Treasury Stock Method</w:t>
      </w:r>
      <w:r>
        <w:rPr>
          <w:b/>
          <w:bCs/>
          <w:color w:val="FFFFFF"/>
          <w:sz w:val="16"/>
          <w:szCs w:val="16"/>
        </w:rPr>
        <w:t xml:space="preserve">    answers</w:t>
      </w:r>
    </w:p>
    <w:p>
      <w:pPr>
        <w:spacing w:after="40" w:before="130"/>
      </w:pPr>
      <w:r>
        <w:rPr>
          <w:b/>
          <w:bCs/>
          <w:color w:val="23265A"/>
          <w:sz w:val="24"/>
          <w:szCs w:val="24"/>
        </w:rPr>
        <w:t xml:space="preserve">Completed text and exercises</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2"/>
        <w:gridCol w:w="40"/>
        <w:gridCol w:w="33"/>
      </w:tblGrid>
      <w:tr>
        <w:tc>
          <w:tcPr>
            <w:shd w:fill="2E8B62" w:val="clear"/>
            <w:tcMar>
              <w:top w:type="dxa" w:w="55"/>
              <w:left w:type="dxa" w:w="115"/>
              <w:bottom w:type="dxa" w:w="55"/>
              <w:right w:type="dxa" w:w="115"/>
            </w:tcMar>
          </w:tcPr>
          <w:p>
            <w:r>
              <w:rPr>
                <w:b/>
                <w:bCs/>
                <w:color w:val="FFFFFF"/>
                <w:sz w:val="17"/>
                <w:szCs w:val="17"/>
              </w:rPr>
              <w:t xml:space="preserve">#</w:t>
            </w:r>
          </w:p>
        </w:tc>
        <w:tc>
          <w:tcPr>
            <w:shd w:fill="2E8B62" w:val="clear"/>
            <w:tcMar>
              <w:top w:type="dxa" w:w="55"/>
              <w:left w:type="dxa" w:w="115"/>
              <w:bottom w:type="dxa" w:w="55"/>
              <w:right w:type="dxa" w:w="115"/>
            </w:tcMar>
          </w:tcPr>
          <w:p>
            <w:r>
              <w:rPr>
                <w:b/>
                <w:bCs/>
                <w:color w:val="FFFFFF"/>
                <w:sz w:val="17"/>
                <w:szCs w:val="17"/>
              </w:rPr>
              <w:t xml:space="preserve">Answer</w:t>
            </w:r>
          </w:p>
        </w:tc>
        <w:tc>
          <w:tcPr>
            <w:shd w:fill="2E8B62" w:val="clear"/>
            <w:tcMar>
              <w:top w:type="dxa" w:w="55"/>
              <w:left w:type="dxa" w:w="115"/>
              <w:bottom w:type="dxa" w:w="55"/>
              <w:right w:type="dxa" w:w="115"/>
            </w:tcMar>
          </w:tcPr>
          <w:p>
            <w:r>
              <w:rPr>
                <w:b/>
                <w:bCs/>
                <w:color w:val="FFFFFF"/>
                <w:sz w:val="17"/>
                <w:szCs w:val="17"/>
              </w:rPr>
              <w:t xml:space="preserve">Why</w:t>
            </w:r>
          </w:p>
        </w:tc>
        <w:tc>
          <w:tcPr>
            <w:shd w:fill="2E8B62" w:val="clear"/>
            <w:tcMar>
              <w:top w:type="dxa" w:w="55"/>
              <w:left w:type="dxa" w:w="115"/>
              <w:bottom w:type="dxa" w:w="55"/>
              <w:right w:type="dxa" w:w="115"/>
            </w:tcMar>
          </w:tcPr>
          <w:p>
            <w:r>
              <w:rPr>
                <w:b/>
                <w:bCs/>
                <w:color w:val="FFFFFF"/>
                <w:sz w:val="17"/>
                <w:szCs w:val="17"/>
              </w:rPr>
              <w:t xml:space="preserve">The trap it defeats</w:t>
            </w:r>
          </w:p>
        </w:tc>
      </w:tr>
      <w:tr>
        <w:tc>
          <w:tcPr>
            <w:shd w:fill="F5F7FC" w:val="clear"/>
            <w:tcMar>
              <w:top w:type="dxa" w:w="40"/>
              <w:left w:type="dxa" w:w="100"/>
              <w:bottom w:type="dxa" w:w="40"/>
              <w:right w:type="dxa" w:w="100"/>
            </w:tcMar>
          </w:tcPr>
          <w:p>
            <w:r>
              <w:rPr>
                <w:b/>
                <w:bCs/>
                <w:sz w:val="17"/>
                <w:szCs w:val="17"/>
              </w:rPr>
              <w:t xml:space="preserve">1</w:t>
            </w:r>
          </w:p>
        </w:tc>
        <w:tc>
          <w:tcPr>
            <w:tcMar>
              <w:top w:type="dxa" w:w="40"/>
              <w:left w:type="dxa" w:w="100"/>
              <w:bottom w:type="dxa" w:w="40"/>
              <w:right w:type="dxa" w:w="100"/>
            </w:tcMar>
          </w:tcPr>
          <w:p>
            <w:r>
              <w:rPr>
                <w:b/>
                <w:bCs/>
                <w:sz w:val="17"/>
                <w:szCs w:val="17"/>
              </w:rPr>
              <w:t xml:space="preserve">did</w:t>
            </w:r>
          </w:p>
        </w:tc>
        <w:tc>
          <w:tcPr>
            <w:tcMar>
              <w:top w:type="dxa" w:w="40"/>
              <w:left w:type="dxa" w:w="100"/>
              <w:bottom w:type="dxa" w:w="40"/>
              <w:right w:type="dxa" w:w="100"/>
            </w:tcMar>
          </w:tcPr>
          <w:p>
            <w:r>
              <w:rPr>
                <w:sz w:val="17"/>
                <w:szCs w:val="17"/>
              </w:rPr>
              <w:t xml:space="preserve">Every one of them, at once.</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2</w:t>
            </w:r>
          </w:p>
        </w:tc>
        <w:tc>
          <w:tcPr>
            <w:tcMar>
              <w:top w:type="dxa" w:w="40"/>
              <w:left w:type="dxa" w:w="100"/>
              <w:bottom w:type="dxa" w:w="40"/>
              <w:right w:type="dxa" w:w="100"/>
            </w:tcMar>
          </w:tcPr>
          <w:p>
            <w:r>
              <w:rPr>
                <w:b/>
                <w:bCs/>
                <w:sz w:val="17"/>
                <w:szCs w:val="17"/>
              </w:rPr>
              <w:t xml:space="preserve">worst</w:t>
            </w:r>
          </w:p>
        </w:tc>
        <w:tc>
          <w:tcPr>
            <w:tcMar>
              <w:top w:type="dxa" w:w="40"/>
              <w:left w:type="dxa" w:w="100"/>
              <w:bottom w:type="dxa" w:w="40"/>
              <w:right w:type="dxa" w:w="100"/>
            </w:tcMar>
          </w:tcPr>
          <w:p>
            <w:r>
              <w:rPr>
                <w:sz w:val="17"/>
                <w:szCs w:val="17"/>
              </w:rPr>
              <w:t xml:space="preserve">The floor, not the expectation.</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3</w:t>
            </w:r>
          </w:p>
        </w:tc>
        <w:tc>
          <w:tcPr>
            <w:tcMar>
              <w:top w:type="dxa" w:w="40"/>
              <w:left w:type="dxa" w:w="100"/>
              <w:bottom w:type="dxa" w:w="40"/>
              <w:right w:type="dxa" w:w="100"/>
            </w:tcMar>
          </w:tcPr>
          <w:p>
            <w:r>
              <w:rPr>
                <w:b/>
                <w:bCs/>
                <w:sz w:val="17"/>
                <w:szCs w:val="17"/>
              </w:rPr>
              <w:t xml:space="preserve">both</w:t>
            </w:r>
          </w:p>
        </w:tc>
        <w:tc>
          <w:tcPr>
            <w:tcMar>
              <w:top w:type="dxa" w:w="40"/>
              <w:left w:type="dxa" w:w="100"/>
              <w:bottom w:type="dxa" w:w="40"/>
              <w:right w:type="dxa" w:w="100"/>
            </w:tcMar>
          </w:tcPr>
          <w:p>
            <w:r>
              <w:rPr>
                <w:sz w:val="17"/>
                <w:szCs w:val="17"/>
              </w:rPr>
              <w:t xml:space="preserve">Two figures, on the face of the statement.</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4</w:t>
            </w:r>
          </w:p>
        </w:tc>
        <w:tc>
          <w:tcPr>
            <w:tcMar>
              <w:top w:type="dxa" w:w="40"/>
              <w:left w:type="dxa" w:w="100"/>
              <w:bottom w:type="dxa" w:w="40"/>
              <w:right w:type="dxa" w:w="100"/>
            </w:tcMar>
          </w:tcPr>
          <w:p>
            <w:r>
              <w:rPr>
                <w:b/>
                <w:bCs/>
                <w:sz w:val="17"/>
                <w:szCs w:val="17"/>
              </w:rPr>
              <w:t xml:space="preserve">raise</w:t>
            </w:r>
          </w:p>
        </w:tc>
        <w:tc>
          <w:tcPr>
            <w:tcMar>
              <w:top w:type="dxa" w:w="40"/>
              <w:left w:type="dxa" w:w="100"/>
              <w:bottom w:type="dxa" w:w="40"/>
              <w:right w:type="dxa" w:w="100"/>
            </w:tcMar>
          </w:tcPr>
          <w:p>
            <w:r>
              <w:rPr>
                <w:sz w:val="17"/>
                <w:szCs w:val="17"/>
              </w:rPr>
              <w:t xml:space="preserve">Then it is left out, as Handout 3 explains.</w:t>
            </w:r>
          </w:p>
        </w:tc>
        <w:tc>
          <w:tcPr>
            <w:tcMar>
              <w:top w:type="dxa" w:w="40"/>
              <w:left w:type="dxa" w:w="100"/>
              <w:bottom w:type="dxa" w:w="40"/>
              <w:right w:type="dxa" w:w="100"/>
            </w:tcMar>
          </w:tcPr>
          <w:p>
            <w:r>
              <w:rPr>
                <w:color w:val="C0483F"/>
                <w:sz w:val="17"/>
                <w:szCs w:val="17"/>
              </w:rPr>
              <w:t xml:space="preserve">Students include every convertible security. Only the dilutive ones go in, and the test is arithmetic.</w:t>
            </w:r>
          </w:p>
        </w:tc>
      </w:tr>
      <w:tr>
        <w:tc>
          <w:tcPr>
            <w:shd w:fill="F5F7FC" w:val="clear"/>
            <w:tcMar>
              <w:top w:type="dxa" w:w="40"/>
              <w:left w:type="dxa" w:w="100"/>
              <w:bottom w:type="dxa" w:w="40"/>
              <w:right w:type="dxa" w:w="100"/>
            </w:tcMar>
          </w:tcPr>
          <w:p>
            <w:r>
              <w:rPr>
                <w:b/>
                <w:bCs/>
                <w:sz w:val="17"/>
                <w:szCs w:val="17"/>
              </w:rPr>
              <w:t xml:space="preserve">5</w:t>
            </w:r>
          </w:p>
        </w:tc>
        <w:tc>
          <w:tcPr>
            <w:tcMar>
              <w:top w:type="dxa" w:w="40"/>
              <w:left w:type="dxa" w:w="100"/>
              <w:bottom w:type="dxa" w:w="40"/>
              <w:right w:type="dxa" w:w="100"/>
            </w:tcMar>
          </w:tcPr>
          <w:p>
            <w:r>
              <w:rPr>
                <w:b/>
                <w:bCs/>
                <w:sz w:val="17"/>
                <w:szCs w:val="17"/>
              </w:rPr>
              <w:t xml:space="preserve">in</w:t>
            </w:r>
          </w:p>
        </w:tc>
        <w:tc>
          <w:tcPr>
            <w:tcMar>
              <w:top w:type="dxa" w:w="40"/>
              <w:left w:type="dxa" w:w="100"/>
              <w:bottom w:type="dxa" w:w="40"/>
              <w:right w:type="dxa" w:w="100"/>
            </w:tcMar>
          </w:tcPr>
          <w:p>
            <w:r>
              <w:rPr>
                <w:sz w:val="17"/>
                <w:szCs w:val="17"/>
              </w:rPr>
              <w:t xml:space="preserve">Worth exercising, because the share is worth more.</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6</w:t>
            </w:r>
          </w:p>
        </w:tc>
        <w:tc>
          <w:tcPr>
            <w:tcMar>
              <w:top w:type="dxa" w:w="40"/>
              <w:left w:type="dxa" w:w="100"/>
              <w:bottom w:type="dxa" w:w="40"/>
              <w:right w:type="dxa" w:w="100"/>
            </w:tcMar>
          </w:tcPr>
          <w:p>
            <w:r>
              <w:rPr>
                <w:b/>
                <w:bCs/>
                <w:sz w:val="17"/>
                <w:szCs w:val="17"/>
              </w:rPr>
              <w:t xml:space="preserve">excluded</w:t>
            </w:r>
          </w:p>
        </w:tc>
        <w:tc>
          <w:tcPr>
            <w:tcMar>
              <w:top w:type="dxa" w:w="40"/>
              <w:left w:type="dxa" w:w="100"/>
              <w:bottom w:type="dxa" w:w="40"/>
              <w:right w:type="dxa" w:w="100"/>
            </w:tcMar>
          </w:tcPr>
          <w:p>
            <w:r>
              <w:rPr>
                <w:sz w:val="17"/>
                <w:szCs w:val="17"/>
              </w:rPr>
              <w:t xml:space="preserve">Exercising it would raise earnings per share.</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7</w:t>
            </w:r>
          </w:p>
        </w:tc>
        <w:tc>
          <w:tcPr>
            <w:tcMar>
              <w:top w:type="dxa" w:w="40"/>
              <w:left w:type="dxa" w:w="100"/>
              <w:bottom w:type="dxa" w:w="40"/>
              <w:right w:type="dxa" w:w="100"/>
            </w:tcMar>
          </w:tcPr>
          <w:p>
            <w:r>
              <w:rPr>
                <w:b/>
                <w:bCs/>
                <w:sz w:val="17"/>
                <w:szCs w:val="17"/>
              </w:rPr>
              <w:t xml:space="preserve">average</w:t>
            </w:r>
          </w:p>
        </w:tc>
        <w:tc>
          <w:tcPr>
            <w:tcMar>
              <w:top w:type="dxa" w:w="40"/>
              <w:left w:type="dxa" w:w="100"/>
              <w:bottom w:type="dxa" w:w="40"/>
              <w:right w:type="dxa" w:w="100"/>
            </w:tcMar>
          </w:tcPr>
          <w:p>
            <w:r>
              <w:rPr>
                <w:sz w:val="17"/>
                <w:szCs w:val="17"/>
              </w:rPr>
              <w:t xml:space="preserve">For the period, matching the earnings.</w:t>
            </w:r>
          </w:p>
        </w:tc>
        <w:tc>
          <w:tcPr>
            <w:tcMar>
              <w:top w:type="dxa" w:w="40"/>
              <w:left w:type="dxa" w:w="100"/>
              <w:bottom w:type="dxa" w:w="40"/>
              <w:right w:type="dxa" w:w="100"/>
            </w:tcMar>
          </w:tcPr>
          <w:p>
            <w:r>
              <w:rPr>
                <w:color w:val="C0483F"/>
                <w:sz w:val="17"/>
                <w:szCs w:val="17"/>
              </w:rPr>
              <w:t xml:space="preserve">Students use the closing price. The average is the one consistent with a figure earned over the whole year.</w:t>
            </w:r>
          </w:p>
        </w:tc>
      </w:tr>
      <w:tr>
        <w:tc>
          <w:tcPr>
            <w:shd w:fill="F5F7FC" w:val="clear"/>
            <w:tcMar>
              <w:top w:type="dxa" w:w="40"/>
              <w:left w:type="dxa" w:w="100"/>
              <w:bottom w:type="dxa" w:w="40"/>
              <w:right w:type="dxa" w:w="100"/>
            </w:tcMar>
          </w:tcPr>
          <w:p>
            <w:r>
              <w:rPr>
                <w:b/>
                <w:bCs/>
                <w:sz w:val="17"/>
                <w:szCs w:val="17"/>
              </w:rPr>
              <w:t xml:space="preserve">8</w:t>
            </w:r>
          </w:p>
        </w:tc>
        <w:tc>
          <w:tcPr>
            <w:tcMar>
              <w:top w:type="dxa" w:w="40"/>
              <w:left w:type="dxa" w:w="100"/>
              <w:bottom w:type="dxa" w:w="40"/>
              <w:right w:type="dxa" w:w="100"/>
            </w:tcMar>
          </w:tcPr>
          <w:p>
            <w:r>
              <w:rPr>
                <w:b/>
                <w:bCs/>
                <w:sz w:val="17"/>
                <w:szCs w:val="17"/>
              </w:rPr>
              <w:t xml:space="preserve">price</w:t>
            </w:r>
          </w:p>
        </w:tc>
        <w:tc>
          <w:tcPr>
            <w:tcMar>
              <w:top w:type="dxa" w:w="40"/>
              <w:left w:type="dxa" w:w="100"/>
              <w:bottom w:type="dxa" w:w="40"/>
              <w:right w:type="dxa" w:w="100"/>
            </w:tcMar>
          </w:tcPr>
          <w:p>
            <w:r>
              <w:rPr>
                <w:sz w:val="17"/>
                <w:szCs w:val="17"/>
              </w:rPr>
              <w:t xml:space="preserve">Two different answers from the same facts.</w:t>
            </w:r>
          </w:p>
        </w:tc>
        <w:tc>
          <w:tcPr>
            <w:tcMar>
              <w:top w:type="dxa" w:w="40"/>
              <w:left w:type="dxa" w:w="100"/>
              <w:bottom w:type="dxa" w:w="40"/>
              <w:right w:type="dxa" w:w="100"/>
            </w:tcMar>
          </w:tcPr>
          <w:p>
            <w:r>
              <w:rPr>
                <w:color w:val="6B7280"/>
                <w:sz w:val="17"/>
                <w:szCs w:val="17"/>
              </w:rPr>
              <w:t xml:space="preserve"/>
            </w:r>
          </w:p>
        </w:tc>
      </w:tr>
    </w:tbl>
    <w:p/>
    <w:p>
      <w:pPr>
        <w:spacing w:after="40" w:before="130"/>
      </w:pPr>
      <w:r>
        <w:rPr>
          <w:b/>
          <w:bCs/>
          <w:color w:val="23265A"/>
          <w:sz w:val="24"/>
          <w:szCs w:val="24"/>
        </w:rPr>
        <w:t xml:space="preserve">Exam-pitch questions</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2"/>
        <w:gridCol w:w="40"/>
        <w:gridCol w:w="33"/>
      </w:tblGrid>
      <w:tr>
        <w:tc>
          <w:tcPr>
            <w:shd w:fill="353A7C" w:val="clear"/>
            <w:tcMar>
              <w:top w:type="dxa" w:w="55"/>
              <w:left w:type="dxa" w:w="115"/>
              <w:bottom w:type="dxa" w:w="55"/>
              <w:right w:type="dxa" w:w="115"/>
            </w:tcMar>
          </w:tcPr>
          <w:p>
            <w:r>
              <w:rPr>
                <w:b/>
                <w:bCs/>
                <w:color w:val="FFFFFF"/>
                <w:sz w:val="17"/>
                <w:szCs w:val="17"/>
              </w:rPr>
              <w:t xml:space="preserve">#</w:t>
            </w:r>
          </w:p>
        </w:tc>
        <w:tc>
          <w:tcPr>
            <w:shd w:fill="353A7C" w:val="clear"/>
            <w:tcMar>
              <w:top w:type="dxa" w:w="55"/>
              <w:left w:type="dxa" w:w="115"/>
              <w:bottom w:type="dxa" w:w="55"/>
              <w:right w:type="dxa" w:w="115"/>
            </w:tcMar>
          </w:tcPr>
          <w:p>
            <w:r>
              <w:rPr>
                <w:b/>
                <w:bCs/>
                <w:color w:val="FFFFFF"/>
                <w:sz w:val="17"/>
                <w:szCs w:val="17"/>
              </w:rPr>
              <w:t xml:space="preserve">Answer</w:t>
            </w:r>
          </w:p>
        </w:tc>
        <w:tc>
          <w:tcPr>
            <w:shd w:fill="353A7C" w:val="clear"/>
            <w:tcMar>
              <w:top w:type="dxa" w:w="55"/>
              <w:left w:type="dxa" w:w="115"/>
              <w:bottom w:type="dxa" w:w="55"/>
              <w:right w:type="dxa" w:w="115"/>
            </w:tcMar>
          </w:tcPr>
          <w:p>
            <w:r>
              <w:rPr>
                <w:b/>
                <w:bCs/>
                <w:color w:val="FFFFFF"/>
                <w:sz w:val="17"/>
                <w:szCs w:val="17"/>
              </w:rPr>
              <w:t xml:space="preserve">Why</w:t>
            </w:r>
          </w:p>
        </w:tc>
        <w:tc>
          <w:tcPr>
            <w:shd w:fill="353A7C" w:val="clear"/>
            <w:tcMar>
              <w:top w:type="dxa" w:w="55"/>
              <w:left w:type="dxa" w:w="115"/>
              <w:bottom w:type="dxa" w:w="55"/>
              <w:right w:type="dxa" w:w="115"/>
            </w:tcMar>
          </w:tcPr>
          <w:p>
            <w:r>
              <w:rPr>
                <w:b/>
                <w:bCs/>
                <w:color w:val="FFFFFF"/>
                <w:sz w:val="17"/>
                <w:szCs w:val="17"/>
              </w:rPr>
              <w:t xml:space="preserve">The trap it defeats</w:t>
            </w:r>
          </w:p>
        </w:tc>
      </w:tr>
      <w:tr>
        <w:tc>
          <w:tcPr>
            <w:shd w:fill="F5F7FC" w:val="clear"/>
            <w:tcMar>
              <w:top w:type="dxa" w:w="40"/>
              <w:left w:type="dxa" w:w="100"/>
              <w:bottom w:type="dxa" w:w="40"/>
              <w:right w:type="dxa" w:w="100"/>
            </w:tcMar>
          </w:tcPr>
          <w:p>
            <w:r>
              <w:rPr>
                <w:b/>
                <w:bCs/>
                <w:sz w:val="17"/>
                <w:szCs w:val="17"/>
              </w:rPr>
              <w:t xml:space="preserve">1</w:t>
            </w:r>
          </w:p>
        </w:tc>
        <w:tc>
          <w:tcPr>
            <w:tcMar>
              <w:top w:type="dxa" w:w="40"/>
              <w:left w:type="dxa" w:w="100"/>
              <w:bottom w:type="dxa" w:w="40"/>
              <w:right w:type="dxa" w:w="100"/>
            </w:tcMar>
          </w:tcPr>
          <w:p>
            <w:r>
              <w:rPr>
                <w:b/>
                <w:bCs/>
                <w:sz w:val="17"/>
                <w:szCs w:val="17"/>
              </w:rPr>
              <w:t xml:space="preserve">(B)  All dilutive potential common shares are exercised or converted</w:t>
            </w:r>
          </w:p>
        </w:tc>
        <w:tc>
          <w:tcPr>
            <w:tcMar>
              <w:top w:type="dxa" w:w="40"/>
              <w:left w:type="dxa" w:w="100"/>
              <w:bottom w:type="dxa" w:w="40"/>
              <w:right w:type="dxa" w:w="100"/>
            </w:tcMar>
          </w:tcPr>
          <w:p>
            <w:r>
              <w:rPr>
                <w:sz w:val="17"/>
                <w:szCs w:val="17"/>
              </w:rPr>
              <w:t xml:space="preserve">Only the dilutive ones. (A) is the answer the word diluted suggests and it would let a security that raises the figure do so, which the whole measure exists to prevent.</w:t>
            </w:r>
          </w:p>
        </w:tc>
        <w:tc>
          <w:tcPr>
            <w:tcMar>
              <w:top w:type="dxa" w:w="40"/>
              <w:left w:type="dxa" w:w="100"/>
              <w:bottom w:type="dxa" w:w="40"/>
              <w:right w:type="dxa" w:w="100"/>
            </w:tcMar>
          </w:tcPr>
          <w:p>
            <w:r>
              <w:rPr>
                <w:color w:val="C0483F"/>
                <w:sz w:val="17"/>
                <w:szCs w:val="17"/>
              </w:rPr>
              <w:t xml:space="preserve">Level A</w:t>
            </w:r>
          </w:p>
        </w:tc>
      </w:tr>
      <w:tr>
        <w:tc>
          <w:tcPr>
            <w:shd w:fill="F5F7FC" w:val="clear"/>
            <w:tcMar>
              <w:top w:type="dxa" w:w="40"/>
              <w:left w:type="dxa" w:w="100"/>
              <w:bottom w:type="dxa" w:w="40"/>
              <w:right w:type="dxa" w:w="100"/>
            </w:tcMar>
          </w:tcPr>
          <w:p>
            <w:r>
              <w:rPr>
                <w:b/>
                <w:bCs/>
                <w:sz w:val="17"/>
                <w:szCs w:val="17"/>
              </w:rPr>
              <w:t xml:space="preserve">2</w:t>
            </w:r>
          </w:p>
        </w:tc>
        <w:tc>
          <w:tcPr>
            <w:tcMar>
              <w:top w:type="dxa" w:w="40"/>
              <w:left w:type="dxa" w:w="100"/>
              <w:bottom w:type="dxa" w:w="40"/>
              <w:right w:type="dxa" w:w="100"/>
            </w:tcMar>
          </w:tcPr>
          <w:p>
            <w:r>
              <w:rPr>
                <w:b/>
                <w:bCs/>
                <w:sz w:val="17"/>
                <w:szCs w:val="17"/>
              </w:rPr>
              <w:t xml:space="preserve">(B)  Below the average market price</w:t>
            </w:r>
          </w:p>
        </w:tc>
        <w:tc>
          <w:tcPr>
            <w:tcMar>
              <w:top w:type="dxa" w:w="40"/>
              <w:left w:type="dxa" w:w="100"/>
              <w:bottom w:type="dxa" w:w="40"/>
              <w:right w:type="dxa" w:w="100"/>
            </w:tcMar>
          </w:tcPr>
          <w:p>
            <w:r>
              <w:rPr>
                <w:sz w:val="17"/>
                <w:szCs w:val="17"/>
              </w:rPr>
              <w:t xml:space="preserve">In the money against the average price for the period. (D) uses the closing price, which is the one price the method never uses.</w:t>
            </w:r>
          </w:p>
        </w:tc>
        <w:tc>
          <w:tcPr>
            <w:tcMar>
              <w:top w:type="dxa" w:w="40"/>
              <w:left w:type="dxa" w:w="100"/>
              <w:bottom w:type="dxa" w:w="40"/>
              <w:right w:type="dxa" w:w="100"/>
            </w:tcMar>
          </w:tcPr>
          <w:p>
            <w:r>
              <w:rPr>
                <w:color w:val="C0483F"/>
                <w:sz w:val="17"/>
                <w:szCs w:val="17"/>
              </w:rPr>
              <w:t xml:space="preserve">Level A</w:t>
            </w:r>
          </w:p>
        </w:tc>
      </w:tr>
      <w:tr>
        <w:tc>
          <w:tcPr>
            <w:shd w:fill="F5F7FC" w:val="clear"/>
            <w:tcMar>
              <w:top w:type="dxa" w:w="40"/>
              <w:left w:type="dxa" w:w="100"/>
              <w:bottom w:type="dxa" w:w="40"/>
              <w:right w:type="dxa" w:w="100"/>
            </w:tcMar>
          </w:tcPr>
          <w:p>
            <w:r>
              <w:rPr>
                <w:b/>
                <w:bCs/>
                <w:sz w:val="17"/>
                <w:szCs w:val="17"/>
              </w:rPr>
              <w:t xml:space="preserve">3</w:t>
            </w:r>
          </w:p>
        </w:tc>
        <w:tc>
          <w:tcPr>
            <w:tcMar>
              <w:top w:type="dxa" w:w="40"/>
              <w:left w:type="dxa" w:w="100"/>
              <w:bottom w:type="dxa" w:w="40"/>
              <w:right w:type="dxa" w:w="100"/>
            </w:tcMar>
          </w:tcPr>
          <w:p>
            <w:r>
              <w:rPr>
                <w:b/>
                <w:bCs/>
                <w:sz w:val="17"/>
                <w:szCs w:val="17"/>
              </w:rPr>
              <w:t xml:space="preserve">(B)  Repurchase shares at the average market price</w:t>
            </w:r>
          </w:p>
        </w:tc>
        <w:tc>
          <w:tcPr>
            <w:tcMar>
              <w:top w:type="dxa" w:w="40"/>
              <w:left w:type="dxa" w:w="100"/>
              <w:bottom w:type="dxa" w:w="40"/>
              <w:right w:type="dxa" w:w="100"/>
            </w:tcMar>
          </w:tcPr>
          <w:p>
            <w:r>
              <w:rPr>
                <w:sz w:val="17"/>
                <w:szCs w:val="17"/>
              </w:rPr>
              <w:t xml:space="preserve">Repurchase at the average market price, which is why only the excess shares are added. (C) would repurchase exactly as many shares as were issued and show no dilution at all.</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4</w:t>
            </w:r>
          </w:p>
        </w:tc>
        <w:tc>
          <w:tcPr>
            <w:tcMar>
              <w:top w:type="dxa" w:w="40"/>
              <w:left w:type="dxa" w:w="100"/>
              <w:bottom w:type="dxa" w:w="40"/>
              <w:right w:type="dxa" w:w="100"/>
            </w:tcMar>
          </w:tcPr>
          <w:p>
            <w:r>
              <w:rPr>
                <w:b/>
                <w:bCs/>
                <w:sz w:val="17"/>
                <w:szCs w:val="17"/>
              </w:rPr>
              <w:t xml:space="preserve">(B)  10,000</w:t>
            </w:r>
          </w:p>
        </w:tc>
        <w:tc>
          <w:tcPr>
            <w:tcMar>
              <w:top w:type="dxa" w:w="40"/>
              <w:left w:type="dxa" w:w="100"/>
              <w:bottom w:type="dxa" w:w="40"/>
              <w:right w:type="dxa" w:w="100"/>
            </w:tcMar>
          </w:tcPr>
          <w:p>
            <w:r>
              <w:rPr>
                <w:sz w:val="17"/>
                <w:szCs w:val="17"/>
              </w:rPr>
              <w:t xml:space="preserve">$180,000 of proceeds buys 20,000 shares at $9, so 30,000 less 20,000 is 10,000. (A) adds every option share and ignores the cash the company would receive.</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5</w:t>
            </w:r>
          </w:p>
        </w:tc>
        <w:tc>
          <w:tcPr>
            <w:tcMar>
              <w:top w:type="dxa" w:w="40"/>
              <w:left w:type="dxa" w:w="100"/>
              <w:bottom w:type="dxa" w:w="40"/>
              <w:right w:type="dxa" w:w="100"/>
            </w:tcMar>
          </w:tcPr>
          <w:p>
            <w:r>
              <w:rPr>
                <w:b/>
                <w:bCs/>
                <w:sz w:val="17"/>
                <w:szCs w:val="17"/>
              </w:rPr>
              <w:t xml:space="preserve">(B)  Excluded, because exercise would raise the figure</w:t>
            </w:r>
          </w:p>
        </w:tc>
        <w:tc>
          <w:tcPr>
            <w:tcMar>
              <w:top w:type="dxa" w:w="40"/>
              <w:left w:type="dxa" w:w="100"/>
              <w:bottom w:type="dxa" w:w="40"/>
              <w:right w:type="dxa" w:w="100"/>
            </w:tcMar>
          </w:tcPr>
          <w:p>
            <w:r>
              <w:rPr>
                <w:sz w:val="17"/>
                <w:szCs w:val="17"/>
              </w:rPr>
              <w:t xml:space="preserve">Nobody pays $12 for a $9 share, and including them would raise the figure. (A) applies the method mechanically without first running the in-the-money test.</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6</w:t>
            </w:r>
          </w:p>
        </w:tc>
        <w:tc>
          <w:tcPr>
            <w:tcMar>
              <w:top w:type="dxa" w:w="40"/>
              <w:left w:type="dxa" w:w="100"/>
              <w:bottom w:type="dxa" w:w="40"/>
              <w:right w:type="dxa" w:w="100"/>
            </w:tcMar>
          </w:tcPr>
          <w:p>
            <w:r>
              <w:rPr>
                <w:b/>
                <w:bCs/>
                <w:sz w:val="17"/>
                <w:szCs w:val="17"/>
              </w:rPr>
              <w:t xml:space="preserve">(B)  The denominator only</w:t>
            </w:r>
          </w:p>
        </w:tc>
        <w:tc>
          <w:tcPr>
            <w:tcMar>
              <w:top w:type="dxa" w:w="40"/>
              <w:left w:type="dxa" w:w="100"/>
              <w:bottom w:type="dxa" w:w="40"/>
              <w:right w:type="dxa" w:w="100"/>
            </w:tcMar>
          </w:tcPr>
          <w:p>
            <w:r>
              <w:rPr>
                <w:sz w:val="17"/>
                <w:szCs w:val="17"/>
              </w:rPr>
              <w:t xml:space="preserve">Options bring in cash and carry no interest or dividend, so nothing is added back to income. (C) is true of the convertible securities in Handout 3, and the contrast is the point.</w:t>
            </w:r>
          </w:p>
        </w:tc>
        <w:tc>
          <w:tcPr>
            <w:tcMar>
              <w:top w:type="dxa" w:w="40"/>
              <w:left w:type="dxa" w:w="100"/>
              <w:bottom w:type="dxa" w:w="40"/>
              <w:right w:type="dxa" w:w="100"/>
            </w:tcMar>
          </w:tcPr>
          <w:p>
            <w:r>
              <w:rPr>
                <w:color w:val="C0483F"/>
                <w:sz w:val="17"/>
                <w:szCs w:val="17"/>
              </w:rPr>
              <w:t xml:space="preserve">Level C</w:t>
            </w:r>
          </w:p>
        </w:tc>
      </w:tr>
      <w:tr>
        <w:tc>
          <w:tcPr>
            <w:shd w:fill="F5F7FC" w:val="clear"/>
            <w:tcMar>
              <w:top w:type="dxa" w:w="40"/>
              <w:left w:type="dxa" w:w="100"/>
              <w:bottom w:type="dxa" w:w="40"/>
              <w:right w:type="dxa" w:w="100"/>
            </w:tcMar>
          </w:tcPr>
          <w:p>
            <w:r>
              <w:rPr>
                <w:b/>
                <w:bCs/>
                <w:sz w:val="17"/>
                <w:szCs w:val="17"/>
              </w:rPr>
              <w:t xml:space="preserve">7</w:t>
            </w:r>
          </w:p>
        </w:tc>
        <w:tc>
          <w:tcPr>
            <w:tcMar>
              <w:top w:type="dxa" w:w="40"/>
              <w:left w:type="dxa" w:w="100"/>
              <w:bottom w:type="dxa" w:w="40"/>
              <w:right w:type="dxa" w:w="100"/>
            </w:tcMar>
          </w:tcPr>
          <w:p>
            <w:r>
              <w:rPr>
                <w:b/>
                <w:bCs/>
                <w:sz w:val="17"/>
                <w:szCs w:val="17"/>
              </w:rPr>
              <w:t xml:space="preserve">(B)  Basic earnings per share only</w:t>
            </w:r>
          </w:p>
        </w:tc>
        <w:tc>
          <w:tcPr>
            <w:tcMar>
              <w:top w:type="dxa" w:w="40"/>
              <w:left w:type="dxa" w:w="100"/>
              <w:bottom w:type="dxa" w:w="40"/>
              <w:right w:type="dxa" w:w="100"/>
            </w:tcMar>
          </w:tcPr>
          <w:p>
            <w:r>
              <w:rPr>
                <w:sz w:val="17"/>
                <w:szCs w:val="17"/>
              </w:rPr>
              <w:t xml:space="preserve">That is a simple capital structure, and only the basic figure is required. (A) is defensible in arithmetic and is not what the standards ask for.</w:t>
            </w:r>
          </w:p>
        </w:tc>
        <w:tc>
          <w:tcPr>
            <w:tcMar>
              <w:top w:type="dxa" w:w="40"/>
              <w:left w:type="dxa" w:w="100"/>
              <w:bottom w:type="dxa" w:w="40"/>
              <w:right w:type="dxa" w:w="100"/>
            </w:tcMar>
          </w:tcPr>
          <w:p>
            <w:r>
              <w:rPr>
                <w:color w:val="C0483F"/>
                <w:sz w:val="17"/>
                <w:szCs w:val="17"/>
              </w:rPr>
              <w:t xml:space="preserve">Level C</w:t>
            </w:r>
          </w:p>
        </w:tc>
      </w:tr>
    </w:tbl>
    <w:p/>
    <w:p>
      <w:pPr>
        <w:spacing w:after="40" w:before="130"/>
      </w:pPr>
      <w:r>
        <w:rPr>
          <w:b/>
          <w:bCs/>
          <w:color w:val="23265A"/>
          <w:sz w:val="24"/>
          <w:szCs w:val="24"/>
        </w:rPr>
        <w:t xml:space="preserve">Exercise 2C · the treasury stock method, applied</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68"/>
        <w:gridCol w:w="32"/>
      </w:tblGrid>
      <w:tr>
        <w:tc>
          <w:tcPr>
            <w:shd w:fill="A05A2B" w:val="clear"/>
            <w:tcMar>
              <w:top w:type="dxa" w:w="60"/>
              <w:left w:type="dxa" w:w="120"/>
              <w:bottom w:type="dxa" w:w="60"/>
              <w:right w:type="dxa" w:w="120"/>
            </w:tcMar>
          </w:tcPr>
          <w:p>
            <w:r>
              <w:rPr>
                <w:b/>
                <w:bCs/>
                <w:color w:val="FFFFFF"/>
                <w:sz w:val="19"/>
                <w:szCs w:val="19"/>
              </w:rPr>
              <w:t xml:space="preserve">The treasury stock method</w:t>
            </w:r>
          </w:p>
        </w:tc>
        <w:tc>
          <w:tcPr>
            <w:shd w:fill="A05A2B" w:val="clear"/>
            <w:tcMar>
              <w:top w:type="dxa" w:w="60"/>
              <w:left w:type="dxa" w:w="120"/>
              <w:bottom w:type="dxa" w:w="60"/>
              <w:right w:type="dxa" w:w="120"/>
            </w:tcMar>
          </w:tcPr>
          <w:p>
            <w:r>
              <w:rPr>
                <w:b/>
                <w:bCs/>
                <w:color w:val="FFFFFF"/>
                <w:sz w:val="19"/>
                <w:szCs w:val="19"/>
              </w:rPr>
              <w:t xml:space="preserve">Shares</w:t>
            </w:r>
          </w:p>
        </w:tc>
      </w:tr>
      <w:tr>
        <w:tc>
          <w:tcPr>
            <w:tcMar>
              <w:top w:type="dxa" w:w="60"/>
              <w:left w:type="dxa" w:w="120"/>
              <w:bottom w:type="dxa" w:w="60"/>
              <w:right w:type="dxa" w:w="120"/>
            </w:tcMar>
          </w:tcPr>
          <w:p>
            <w:r>
              <w:rPr>
                <w:sz w:val="19"/>
                <w:szCs w:val="19"/>
              </w:rPr>
              <w:t xml:space="preserve">Options outstanding, exercisable at $6</w:t>
            </w:r>
          </w:p>
        </w:tc>
        <w:tc>
          <w:tcPr>
            <w:tcMar>
              <w:top w:type="dxa" w:w="60"/>
              <w:left w:type="dxa" w:w="120"/>
              <w:bottom w:type="dxa" w:w="60"/>
              <w:right w:type="dxa" w:w="120"/>
            </w:tcMar>
          </w:tcPr>
          <w:p>
            <w:r>
              <w:rPr>
                <w:sz w:val="19"/>
                <w:szCs w:val="19"/>
              </w:rPr>
              <w:t xml:space="preserve">30,000</w:t>
            </w:r>
          </w:p>
        </w:tc>
      </w:tr>
      <w:tr>
        <w:tc>
          <w:tcPr>
            <w:tcMar>
              <w:top w:type="dxa" w:w="60"/>
              <w:left w:type="dxa" w:w="120"/>
              <w:bottom w:type="dxa" w:w="60"/>
              <w:right w:type="dxa" w:w="120"/>
            </w:tcMar>
          </w:tcPr>
          <w:p>
            <w:r>
              <w:rPr>
                <w:sz w:val="19"/>
                <w:szCs w:val="19"/>
              </w:rPr>
              <w:t xml:space="preserve">Cash the holders would pay on exercise</w:t>
            </w:r>
          </w:p>
        </w:tc>
        <w:tc>
          <w:tcPr>
            <w:tcMar>
              <w:top w:type="dxa" w:w="60"/>
              <w:left w:type="dxa" w:w="120"/>
              <w:bottom w:type="dxa" w:w="60"/>
              <w:right w:type="dxa" w:w="120"/>
            </w:tcMar>
          </w:tcPr>
          <w:p>
            <w:r>
              <w:rPr>
                <w:sz w:val="19"/>
                <w:szCs w:val="19"/>
              </w:rPr>
              <w:t xml:space="preserve">$180,000</w:t>
            </w:r>
          </w:p>
        </w:tc>
      </w:tr>
      <w:tr>
        <w:tc>
          <w:tcPr>
            <w:tcMar>
              <w:top w:type="dxa" w:w="60"/>
              <w:left w:type="dxa" w:w="120"/>
              <w:bottom w:type="dxa" w:w="60"/>
              <w:right w:type="dxa" w:w="120"/>
            </w:tcMar>
          </w:tcPr>
          <w:p>
            <w:r>
              <w:rPr>
                <w:sz w:val="19"/>
                <w:szCs w:val="19"/>
              </w:rPr>
              <w:t xml:space="preserve">Shares that cash would buy back at the $9 average price</w:t>
            </w:r>
          </w:p>
        </w:tc>
        <w:tc>
          <w:tcPr>
            <w:tcMar>
              <w:top w:type="dxa" w:w="60"/>
              <w:left w:type="dxa" w:w="120"/>
              <w:bottom w:type="dxa" w:w="60"/>
              <w:right w:type="dxa" w:w="120"/>
            </w:tcMar>
          </w:tcPr>
          <w:p>
            <w:r>
              <w:rPr>
                <w:sz w:val="19"/>
                <w:szCs w:val="19"/>
              </w:rPr>
              <w:t xml:space="preserve">20,000</w:t>
            </w:r>
          </w:p>
        </w:tc>
      </w:tr>
      <w:tr>
        <w:tc>
          <w:tcPr>
            <w:tcMar>
              <w:top w:type="dxa" w:w="60"/>
              <w:left w:type="dxa" w:w="120"/>
              <w:bottom w:type="dxa" w:w="60"/>
              <w:right w:type="dxa" w:w="120"/>
            </w:tcMar>
          </w:tcPr>
          <w:p>
            <w:r>
              <w:rPr>
                <w:sz w:val="19"/>
                <w:szCs w:val="19"/>
              </w:rPr>
              <w:t xml:space="preserve">Incremental shares added to the denominator</w:t>
            </w:r>
          </w:p>
        </w:tc>
        <w:tc>
          <w:tcPr>
            <w:tcMar>
              <w:top w:type="dxa" w:w="60"/>
              <w:left w:type="dxa" w:w="120"/>
              <w:bottom w:type="dxa" w:w="60"/>
              <w:right w:type="dxa" w:w="120"/>
            </w:tcMar>
          </w:tcPr>
          <w:p>
            <w:r>
              <w:rPr>
                <w:sz w:val="19"/>
                <w:szCs w:val="19"/>
              </w:rPr>
              <w:t xml:space="preserve">10,000</w:t>
            </w:r>
          </w:p>
        </w:tc>
      </w:tr>
    </w:tbl>
    <w:p/>
    <w:p>
      <w:pPr>
        <w:spacing w:after="40" w:before="130"/>
      </w:pPr>
      <w:r>
        <w:rPr>
          <w:b/>
          <w:bCs/>
          <w:color w:val="23265A"/>
          <w:sz w:val="24"/>
          <w:szCs w:val="24"/>
        </w:rPr>
        <w:t xml:space="preserve">Exercise 2D · diluted earnings per share, options only</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34"/>
        <w:gridCol w:w="22"/>
        <w:gridCol w:w="22"/>
        <w:gridCol w:w="22"/>
      </w:tblGrid>
      <w:tr>
        <w:tc>
          <w:tcPr>
            <w:shd w:fill="1F6F8F" w:val="clear"/>
            <w:tcMar>
              <w:top w:type="dxa" w:w="60"/>
              <w:left w:type="dxa" w:w="120"/>
              <w:bottom w:type="dxa" w:w="60"/>
              <w:right w:type="dxa" w:w="120"/>
            </w:tcMar>
          </w:tcPr>
          <w:p>
            <w:r>
              <w:rPr>
                <w:b/>
                <w:bCs/>
                <w:color w:val="FFFFFF"/>
                <w:sz w:val="19"/>
                <w:szCs w:val="19"/>
              </w:rPr>
              <w:t xml:space="preserve">Diluted EPS for 20X4</w:t>
            </w:r>
          </w:p>
        </w:tc>
        <w:tc>
          <w:tcPr>
            <w:shd w:fill="1F6F8F" w:val="clear"/>
            <w:tcMar>
              <w:top w:type="dxa" w:w="60"/>
              <w:left w:type="dxa" w:w="120"/>
              <w:bottom w:type="dxa" w:w="60"/>
              <w:right w:type="dxa" w:w="120"/>
            </w:tcMar>
          </w:tcPr>
          <w:p>
            <w:r>
              <w:rPr>
                <w:b/>
                <w:bCs/>
                <w:color w:val="FFFFFF"/>
                <w:sz w:val="19"/>
                <w:szCs w:val="19"/>
              </w:rPr>
              <w:t xml:space="preserve">Numerator</w:t>
            </w:r>
          </w:p>
        </w:tc>
        <w:tc>
          <w:tcPr>
            <w:shd w:fill="1F6F8F" w:val="clear"/>
            <w:tcMar>
              <w:top w:type="dxa" w:w="60"/>
              <w:left w:type="dxa" w:w="120"/>
              <w:bottom w:type="dxa" w:w="60"/>
              <w:right w:type="dxa" w:w="120"/>
            </w:tcMar>
          </w:tcPr>
          <w:p>
            <w:r>
              <w:rPr>
                <w:b/>
                <w:bCs/>
                <w:color w:val="FFFFFF"/>
                <w:sz w:val="19"/>
                <w:szCs w:val="19"/>
              </w:rPr>
              <w:t xml:space="preserve">Denominator</w:t>
            </w:r>
          </w:p>
        </w:tc>
        <w:tc>
          <w:tcPr>
            <w:shd w:fill="1F6F8F" w:val="clear"/>
            <w:tcMar>
              <w:top w:type="dxa" w:w="60"/>
              <w:left w:type="dxa" w:w="120"/>
              <w:bottom w:type="dxa" w:w="60"/>
              <w:right w:type="dxa" w:w="120"/>
            </w:tcMar>
          </w:tcPr>
          <w:p>
            <w:r>
              <w:rPr>
                <w:b/>
                <w:bCs/>
                <w:color w:val="FFFFFF"/>
                <w:sz w:val="19"/>
                <w:szCs w:val="19"/>
              </w:rPr>
              <w:t xml:space="preserve">Per share</w:t>
            </w:r>
          </w:p>
        </w:tc>
      </w:tr>
      <w:tr>
        <w:tc>
          <w:tcPr>
            <w:tcMar>
              <w:top w:type="dxa" w:w="60"/>
              <w:left w:type="dxa" w:w="120"/>
              <w:bottom w:type="dxa" w:w="60"/>
              <w:right w:type="dxa" w:w="120"/>
            </w:tcMar>
          </w:tcPr>
          <w:p>
            <w:r>
              <w:rPr>
                <w:sz w:val="19"/>
                <w:szCs w:val="19"/>
              </w:rPr>
              <w:t xml:space="preserve">Basic</w:t>
            </w:r>
          </w:p>
        </w:tc>
        <w:tc>
          <w:tcPr>
            <w:tcMar>
              <w:top w:type="dxa" w:w="60"/>
              <w:left w:type="dxa" w:w="120"/>
              <w:bottom w:type="dxa" w:w="60"/>
              <w:right w:type="dxa" w:w="120"/>
            </w:tcMar>
          </w:tcPr>
          <w:p>
            <w:r>
              <w:rPr>
                <w:sz w:val="19"/>
                <w:szCs w:val="19"/>
              </w:rPr>
              <w:t xml:space="preserve">$510,000</w:t>
            </w:r>
          </w:p>
        </w:tc>
        <w:tc>
          <w:tcPr>
            <w:tcMar>
              <w:top w:type="dxa" w:w="60"/>
              <w:left w:type="dxa" w:w="120"/>
              <w:bottom w:type="dxa" w:w="60"/>
              <w:right w:type="dxa" w:w="120"/>
            </w:tcMar>
          </w:tcPr>
          <w:p>
            <w:r>
              <w:rPr>
                <w:sz w:val="19"/>
                <w:szCs w:val="19"/>
              </w:rPr>
              <w:t xml:space="preserve">291,750</w:t>
            </w:r>
          </w:p>
        </w:tc>
        <w:tc>
          <w:tcPr>
            <w:tcMar>
              <w:top w:type="dxa" w:w="60"/>
              <w:left w:type="dxa" w:w="120"/>
              <w:bottom w:type="dxa" w:w="60"/>
              <w:right w:type="dxa" w:w="120"/>
            </w:tcMar>
          </w:tcPr>
          <w:p>
            <w:r>
              <w:rPr>
                <w:sz w:val="19"/>
                <w:szCs w:val="19"/>
              </w:rPr>
              <w:t xml:space="preserve">$1.75</w:t>
            </w:r>
          </w:p>
        </w:tc>
      </w:tr>
      <w:tr>
        <w:tc>
          <w:tcPr>
            <w:tcMar>
              <w:top w:type="dxa" w:w="60"/>
              <w:left w:type="dxa" w:w="120"/>
              <w:bottom w:type="dxa" w:w="60"/>
              <w:right w:type="dxa" w:w="120"/>
            </w:tcMar>
          </w:tcPr>
          <w:p>
            <w:r>
              <w:rPr>
                <w:sz w:val="19"/>
                <w:szCs w:val="19"/>
              </w:rPr>
              <w:t xml:space="preserve">Add the incremental shares</w:t>
            </w:r>
          </w:p>
        </w:tc>
        <w:tc>
          <w:tcPr>
            <w:tcMar>
              <w:top w:type="dxa" w:w="60"/>
              <w:left w:type="dxa" w:w="120"/>
              <w:bottom w:type="dxa" w:w="60"/>
              <w:right w:type="dxa" w:w="120"/>
            </w:tcMar>
          </w:tcPr>
          <w:p>
            <w:r>
              <w:rPr>
                <w:sz w:val="19"/>
                <w:szCs w:val="19"/>
              </w:rPr>
              <w:t xml:space="preserve">—</w:t>
            </w:r>
          </w:p>
        </w:tc>
        <w:tc>
          <w:tcPr>
            <w:tcMar>
              <w:top w:type="dxa" w:w="60"/>
              <w:left w:type="dxa" w:w="120"/>
              <w:bottom w:type="dxa" w:w="60"/>
              <w:right w:type="dxa" w:w="120"/>
            </w:tcMar>
          </w:tcPr>
          <w:p>
            <w:r>
              <w:rPr>
                <w:sz w:val="19"/>
                <w:szCs w:val="19"/>
              </w:rPr>
              <w:t xml:space="preserve">10,000</w:t>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Diluted, options only</w:t>
            </w:r>
          </w:p>
        </w:tc>
        <w:tc>
          <w:tcPr>
            <w:tcMar>
              <w:top w:type="dxa" w:w="60"/>
              <w:left w:type="dxa" w:w="120"/>
              <w:bottom w:type="dxa" w:w="60"/>
              <w:right w:type="dxa" w:w="120"/>
            </w:tcMar>
          </w:tcPr>
          <w:p>
            <w:r>
              <w:rPr>
                <w:sz w:val="19"/>
                <w:szCs w:val="19"/>
              </w:rPr>
              <w:t xml:space="preserve">$510,000</w:t>
            </w:r>
          </w:p>
        </w:tc>
        <w:tc>
          <w:tcPr>
            <w:tcMar>
              <w:top w:type="dxa" w:w="60"/>
              <w:left w:type="dxa" w:w="120"/>
              <w:bottom w:type="dxa" w:w="60"/>
              <w:right w:type="dxa" w:w="120"/>
            </w:tcMar>
          </w:tcPr>
          <w:p>
            <w:r>
              <w:rPr>
                <w:sz w:val="19"/>
                <w:szCs w:val="19"/>
              </w:rPr>
              <w:t xml:space="preserve">301,750</w:t>
            </w:r>
          </w:p>
        </w:tc>
        <w:tc>
          <w:tcPr>
            <w:tcMar>
              <w:top w:type="dxa" w:w="60"/>
              <w:left w:type="dxa" w:w="120"/>
              <w:bottom w:type="dxa" w:w="60"/>
              <w:right w:type="dxa" w:w="120"/>
            </w:tcMar>
          </w:tcPr>
          <w:p>
            <w:r>
              <w:rPr>
                <w:sz w:val="19"/>
                <w:szCs w:val="19"/>
              </w:rPr>
              <w:t xml:space="preserve">$1.69</w:t>
            </w:r>
          </w:p>
        </w:tc>
      </w:tr>
    </w:tbl>
    <w:p/>
    <w:p>
      <w:pPr>
        <w:spacing w:before="40" w:after="110" w:line="300" w:lineRule="auto"/>
      </w:pPr>
      <w:r>
        <w:rPr>
          <w:b/>
          <w:color w:val="2B6CB0"/>
          <w:sz w:val="13"/>
        </w:rPr>
        <w:t xml:space="preserve">R2  </w:t>
      </w:r>
      <w:r>
        <w:rPr>
          <w:sz w:val="21"/>
          <w:szCs w:val="21"/>
        </w:rPr>
        <w:t xml:space="preserve">The incremental 10,000 shares can be computed a second way as a check: the options are in the money by $3 on a $9 share, which is a third of the price, and a third of 30,000 options is 10,000. Where the arithmetic is clean that shortcut is faster than the schedule.</w:t>
      </w:r>
    </w:p>
    <w:p>
      <w:pPr>
        <w:spacing w:before="40" w:after="110" w:line="300" w:lineRule="auto"/>
      </w:pPr>
      <w:r>
        <w:rPr>
          <w:b/>
          <w:color w:val="2B6CB0"/>
          <w:sz w:val="13"/>
        </w:rPr>
        <w:t xml:space="preserve">R2  </w:t>
      </w:r>
      <w:r>
        <w:rPr>
          <w:sz w:val="21"/>
          <w:szCs w:val="21"/>
        </w:rPr>
        <w:t xml:space="preserve">Note that the numerator did not move. Options are the simple case precisely because exercising one brings in cash and costs the company nothing in income. Handout 3 takes the securities where that is not true.</w:t>
      </w:r>
    </w:p>
    <w:p>
      <w:pPr>
        <w:sectPr>
          <w:headerReference w:type="default" r:id="rIdHdr5"/>
          <w:pgSz w:w="11906" w:h="16838" w:orient="portrait"/>
          <w:pgMar w:top="1180" w:right="1000" w:bottom="900" w:left="1000" w:header="708" w:footer="708" w:gutter="0"/>
          <w:docGrid w:linePitch="360"/>
          <w:pgNumType/>
        </w:sectPr>
      </w:pPr>
    </w:p>
    <w:p>
      <w:pPr>
        <w:shd w:fill="353A7C" w:val="clear"/>
        <w:spacing w:after="80" w:before="230"/>
      </w:pPr>
      <w:r>
        <w:rPr>
          <w:b/>
          <w:bCs/>
          <w:color w:val="FFFFFF"/>
          <w:sz w:val="26"/>
          <w:szCs w:val="26"/>
        </w:rPr>
        <w:t xml:space="preserve">  Handout 3 · Convertibles, the If-Converted Method, and Antidilution</w:t>
      </w:r>
      <w:r>
        <w:rPr>
          <w:b/>
          <w:bCs/>
          <w:color w:val="FFFFFF"/>
          <w:sz w:val="16"/>
          <w:szCs w:val="16"/>
        </w:rPr>
        <w:t xml:space="preserve">    answers</w:t>
      </w:r>
    </w:p>
    <w:p>
      <w:pPr>
        <w:spacing w:after="40" w:before="130"/>
      </w:pPr>
      <w:r>
        <w:rPr>
          <w:b/>
          <w:bCs/>
          <w:color w:val="23265A"/>
          <w:sz w:val="24"/>
          <w:szCs w:val="24"/>
        </w:rPr>
        <w:t xml:space="preserve">Completed text and exercises</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2"/>
        <w:gridCol w:w="40"/>
        <w:gridCol w:w="33"/>
      </w:tblGrid>
      <w:tr>
        <w:tc>
          <w:tcPr>
            <w:shd w:fill="2E8B62" w:val="clear"/>
            <w:tcMar>
              <w:top w:type="dxa" w:w="55"/>
              <w:left w:type="dxa" w:w="115"/>
              <w:bottom w:type="dxa" w:w="55"/>
              <w:right w:type="dxa" w:w="115"/>
            </w:tcMar>
          </w:tcPr>
          <w:p>
            <w:r>
              <w:rPr>
                <w:b/>
                <w:bCs/>
                <w:color w:val="FFFFFF"/>
                <w:sz w:val="17"/>
                <w:szCs w:val="17"/>
              </w:rPr>
              <w:t xml:space="preserve">#</w:t>
            </w:r>
          </w:p>
        </w:tc>
        <w:tc>
          <w:tcPr>
            <w:shd w:fill="2E8B62" w:val="clear"/>
            <w:tcMar>
              <w:top w:type="dxa" w:w="55"/>
              <w:left w:type="dxa" w:w="115"/>
              <w:bottom w:type="dxa" w:w="55"/>
              <w:right w:type="dxa" w:w="115"/>
            </w:tcMar>
          </w:tcPr>
          <w:p>
            <w:r>
              <w:rPr>
                <w:b/>
                <w:bCs/>
                <w:color w:val="FFFFFF"/>
                <w:sz w:val="17"/>
                <w:szCs w:val="17"/>
              </w:rPr>
              <w:t xml:space="preserve">Answer</w:t>
            </w:r>
          </w:p>
        </w:tc>
        <w:tc>
          <w:tcPr>
            <w:shd w:fill="2E8B62" w:val="clear"/>
            <w:tcMar>
              <w:top w:type="dxa" w:w="55"/>
              <w:left w:type="dxa" w:w="115"/>
              <w:bottom w:type="dxa" w:w="55"/>
              <w:right w:type="dxa" w:w="115"/>
            </w:tcMar>
          </w:tcPr>
          <w:p>
            <w:r>
              <w:rPr>
                <w:b/>
                <w:bCs/>
                <w:color w:val="FFFFFF"/>
                <w:sz w:val="17"/>
                <w:szCs w:val="17"/>
              </w:rPr>
              <w:t xml:space="preserve">Why</w:t>
            </w:r>
          </w:p>
        </w:tc>
        <w:tc>
          <w:tcPr>
            <w:shd w:fill="2E8B62" w:val="clear"/>
            <w:tcMar>
              <w:top w:type="dxa" w:w="55"/>
              <w:left w:type="dxa" w:w="115"/>
              <w:bottom w:type="dxa" w:w="55"/>
              <w:right w:type="dxa" w:w="115"/>
            </w:tcMar>
          </w:tcPr>
          <w:p>
            <w:r>
              <w:rPr>
                <w:b/>
                <w:bCs/>
                <w:color w:val="FFFFFF"/>
                <w:sz w:val="17"/>
                <w:szCs w:val="17"/>
              </w:rPr>
              <w:t xml:space="preserve">The trap it defeats</w:t>
            </w:r>
          </w:p>
        </w:tc>
      </w:tr>
      <w:tr>
        <w:tc>
          <w:tcPr>
            <w:shd w:fill="F5F7FC" w:val="clear"/>
            <w:tcMar>
              <w:top w:type="dxa" w:w="40"/>
              <w:left w:type="dxa" w:w="100"/>
              <w:bottom w:type="dxa" w:w="40"/>
              <w:right w:type="dxa" w:w="100"/>
            </w:tcMar>
          </w:tcPr>
          <w:p>
            <w:r>
              <w:rPr>
                <w:b/>
                <w:bCs/>
                <w:sz w:val="17"/>
                <w:szCs w:val="17"/>
              </w:rPr>
              <w:t xml:space="preserve">1</w:t>
            </w:r>
          </w:p>
        </w:tc>
        <w:tc>
          <w:tcPr>
            <w:tcMar>
              <w:top w:type="dxa" w:w="40"/>
              <w:left w:type="dxa" w:w="100"/>
              <w:bottom w:type="dxa" w:w="40"/>
              <w:right w:type="dxa" w:w="100"/>
            </w:tcMar>
          </w:tcPr>
          <w:p>
            <w:r>
              <w:rPr>
                <w:b/>
                <w:bCs/>
                <w:sz w:val="17"/>
                <w:szCs w:val="17"/>
              </w:rPr>
              <w:t xml:space="preserve">interest</w:t>
            </w:r>
          </w:p>
        </w:tc>
        <w:tc>
          <w:tcPr>
            <w:tcMar>
              <w:top w:type="dxa" w:w="40"/>
              <w:left w:type="dxa" w:w="100"/>
              <w:bottom w:type="dxa" w:w="40"/>
              <w:right w:type="dxa" w:w="100"/>
            </w:tcMar>
          </w:tcPr>
          <w:p>
            <w:r>
              <w:rPr>
                <w:sz w:val="17"/>
                <w:szCs w:val="17"/>
              </w:rPr>
              <w:t xml:space="preserve">A converted bond pays nothing.</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2</w:t>
            </w:r>
          </w:p>
        </w:tc>
        <w:tc>
          <w:tcPr>
            <w:tcMar>
              <w:top w:type="dxa" w:w="40"/>
              <w:left w:type="dxa" w:w="100"/>
              <w:bottom w:type="dxa" w:w="40"/>
              <w:right w:type="dxa" w:w="100"/>
            </w:tcMar>
          </w:tcPr>
          <w:p>
            <w:r>
              <w:rPr>
                <w:b/>
                <w:bCs/>
                <w:sz w:val="17"/>
                <w:szCs w:val="17"/>
              </w:rPr>
              <w:t xml:space="preserve">increased</w:t>
            </w:r>
          </w:p>
        </w:tc>
        <w:tc>
          <w:tcPr>
            <w:tcMar>
              <w:top w:type="dxa" w:w="40"/>
              <w:left w:type="dxa" w:w="100"/>
              <w:bottom w:type="dxa" w:w="40"/>
              <w:right w:type="dxa" w:w="100"/>
            </w:tcMar>
          </w:tcPr>
          <w:p>
            <w:r>
              <w:rPr>
                <w:sz w:val="17"/>
                <w:szCs w:val="17"/>
              </w:rPr>
              <w:t xml:space="preserve">Profit would have been higher.</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3</w:t>
            </w:r>
          </w:p>
        </w:tc>
        <w:tc>
          <w:tcPr>
            <w:tcMar>
              <w:top w:type="dxa" w:w="40"/>
              <w:left w:type="dxa" w:w="100"/>
              <w:bottom w:type="dxa" w:w="40"/>
              <w:right w:type="dxa" w:w="100"/>
            </w:tcMar>
          </w:tcPr>
          <w:p>
            <w:r>
              <w:rPr>
                <w:b/>
                <w:bCs/>
                <w:sz w:val="17"/>
                <w:szCs w:val="17"/>
              </w:rPr>
              <w:t xml:space="preserve">tax</w:t>
            </w:r>
          </w:p>
        </w:tc>
        <w:tc>
          <w:tcPr>
            <w:tcMar>
              <w:top w:type="dxa" w:w="40"/>
              <w:left w:type="dxa" w:w="100"/>
              <w:bottom w:type="dxa" w:w="40"/>
              <w:right w:type="dxa" w:w="100"/>
            </w:tcMar>
          </w:tcPr>
          <w:p>
            <w:r>
              <w:rPr>
                <w:sz w:val="17"/>
                <w:szCs w:val="17"/>
              </w:rPr>
              <w:t xml:space="preserve">The saving is taxable, so add back the net figure.</w:t>
            </w:r>
          </w:p>
        </w:tc>
        <w:tc>
          <w:tcPr>
            <w:tcMar>
              <w:top w:type="dxa" w:w="40"/>
              <w:left w:type="dxa" w:w="100"/>
              <w:bottom w:type="dxa" w:w="40"/>
              <w:right w:type="dxa" w:w="100"/>
            </w:tcMar>
          </w:tcPr>
          <w:p>
            <w:r>
              <w:rPr>
                <w:color w:val="C0483F"/>
                <w:sz w:val="17"/>
                <w:szCs w:val="17"/>
              </w:rPr>
              <w:t xml:space="preserve">Students add back the gross interest. The deduction would have been lost, so the add-back is net of tax.</w:t>
            </w:r>
          </w:p>
        </w:tc>
      </w:tr>
      <w:tr>
        <w:tc>
          <w:tcPr>
            <w:shd w:fill="F5F7FC" w:val="clear"/>
            <w:tcMar>
              <w:top w:type="dxa" w:w="40"/>
              <w:left w:type="dxa" w:w="100"/>
              <w:bottom w:type="dxa" w:w="40"/>
              <w:right w:type="dxa" w:w="100"/>
            </w:tcMar>
          </w:tcPr>
          <w:p>
            <w:r>
              <w:rPr>
                <w:b/>
                <w:bCs/>
                <w:sz w:val="17"/>
                <w:szCs w:val="17"/>
              </w:rPr>
              <w:t xml:space="preserve">4</w:t>
            </w:r>
          </w:p>
        </w:tc>
        <w:tc>
          <w:tcPr>
            <w:tcMar>
              <w:top w:type="dxa" w:w="40"/>
              <w:left w:type="dxa" w:w="100"/>
              <w:bottom w:type="dxa" w:w="40"/>
              <w:right w:type="dxa" w:w="100"/>
            </w:tcMar>
          </w:tcPr>
          <w:p>
            <w:r>
              <w:rPr>
                <w:b/>
                <w:bCs/>
                <w:sz w:val="17"/>
                <w:szCs w:val="17"/>
              </w:rPr>
              <w:t xml:space="preserve">treasury</w:t>
            </w:r>
          </w:p>
        </w:tc>
        <w:tc>
          <w:tcPr>
            <w:tcMar>
              <w:top w:type="dxa" w:w="40"/>
              <w:left w:type="dxa" w:w="100"/>
              <w:bottom w:type="dxa" w:w="40"/>
              <w:right w:type="dxa" w:w="100"/>
            </w:tcMar>
          </w:tcPr>
          <w:p>
            <w:r>
              <w:rPr>
                <w:sz w:val="17"/>
                <w:szCs w:val="17"/>
              </w:rPr>
              <w:t xml:space="preserve">Options move one half; convertibles move both.</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5</w:t>
            </w:r>
          </w:p>
        </w:tc>
        <w:tc>
          <w:tcPr>
            <w:tcMar>
              <w:top w:type="dxa" w:w="40"/>
              <w:left w:type="dxa" w:w="100"/>
              <w:bottom w:type="dxa" w:w="40"/>
              <w:right w:type="dxa" w:w="100"/>
            </w:tcMar>
          </w:tcPr>
          <w:p>
            <w:r>
              <w:rPr>
                <w:b/>
                <w:bCs/>
                <w:sz w:val="17"/>
                <w:szCs w:val="17"/>
              </w:rPr>
              <w:t xml:space="preserve">basic</w:t>
            </w:r>
          </w:p>
        </w:tc>
        <w:tc>
          <w:tcPr>
            <w:tcMar>
              <w:top w:type="dxa" w:w="40"/>
              <w:left w:type="dxa" w:w="100"/>
              <w:bottom w:type="dxa" w:w="40"/>
              <w:right w:type="dxa" w:w="100"/>
            </w:tcMar>
          </w:tcPr>
          <w:p>
            <w:r>
              <w:rPr>
                <w:sz w:val="17"/>
                <w:szCs w:val="17"/>
              </w:rPr>
              <w:t xml:space="preserve">The benchmark is basic, not the running diluted figure.</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6</w:t>
            </w:r>
          </w:p>
        </w:tc>
        <w:tc>
          <w:tcPr>
            <w:tcMar>
              <w:top w:type="dxa" w:w="40"/>
              <w:left w:type="dxa" w:w="100"/>
              <w:bottom w:type="dxa" w:w="40"/>
              <w:right w:type="dxa" w:w="100"/>
            </w:tcMar>
          </w:tcPr>
          <w:p>
            <w:r>
              <w:rPr>
                <w:b/>
                <w:bCs/>
                <w:sz w:val="17"/>
                <w:szCs w:val="17"/>
              </w:rPr>
              <w:t xml:space="preserve">dilutive</w:t>
            </w:r>
          </w:p>
        </w:tc>
        <w:tc>
          <w:tcPr>
            <w:tcMar>
              <w:top w:type="dxa" w:w="40"/>
              <w:left w:type="dxa" w:w="100"/>
              <w:bottom w:type="dxa" w:w="40"/>
              <w:right w:type="dxa" w:w="100"/>
            </w:tcMar>
          </w:tcPr>
          <w:p>
            <w:r>
              <w:rPr>
                <w:sz w:val="17"/>
                <w:szCs w:val="17"/>
              </w:rPr>
              <w:t xml:space="preserve">Below basic, so it goes in.</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7</w:t>
            </w:r>
          </w:p>
        </w:tc>
        <w:tc>
          <w:tcPr>
            <w:tcMar>
              <w:top w:type="dxa" w:w="40"/>
              <w:left w:type="dxa" w:w="100"/>
              <w:bottom w:type="dxa" w:w="40"/>
              <w:right w:type="dxa" w:w="100"/>
            </w:tcMar>
          </w:tcPr>
          <w:p>
            <w:r>
              <w:rPr>
                <w:b/>
                <w:bCs/>
                <w:sz w:val="17"/>
                <w:szCs w:val="17"/>
              </w:rPr>
              <w:t xml:space="preserve">above</w:t>
            </w:r>
          </w:p>
        </w:tc>
        <w:tc>
          <w:tcPr>
            <w:tcMar>
              <w:top w:type="dxa" w:w="40"/>
              <w:left w:type="dxa" w:w="100"/>
              <w:bottom w:type="dxa" w:w="40"/>
              <w:right w:type="dxa" w:w="100"/>
            </w:tcMar>
          </w:tcPr>
          <w:p>
            <w:r>
              <w:rPr>
                <w:sz w:val="17"/>
                <w:szCs w:val="17"/>
              </w:rPr>
              <w:t xml:space="preserve">More income per share than the company already earns.</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8</w:t>
            </w:r>
          </w:p>
        </w:tc>
        <w:tc>
          <w:tcPr>
            <w:tcMar>
              <w:top w:type="dxa" w:w="40"/>
              <w:left w:type="dxa" w:w="100"/>
              <w:bottom w:type="dxa" w:w="40"/>
              <w:right w:type="dxa" w:w="100"/>
            </w:tcMar>
          </w:tcPr>
          <w:p>
            <w:r>
              <w:rPr>
                <w:b/>
                <w:bCs/>
                <w:sz w:val="17"/>
                <w:szCs w:val="17"/>
              </w:rPr>
              <w:t xml:space="preserve">antidilutive</w:t>
            </w:r>
          </w:p>
        </w:tc>
        <w:tc>
          <w:tcPr>
            <w:tcMar>
              <w:top w:type="dxa" w:w="40"/>
              <w:left w:type="dxa" w:w="100"/>
              <w:bottom w:type="dxa" w:w="40"/>
              <w:right w:type="dxa" w:w="100"/>
            </w:tcMar>
          </w:tcPr>
          <w:p>
            <w:r>
              <w:rPr>
                <w:sz w:val="17"/>
                <w:szCs w:val="17"/>
              </w:rPr>
              <w:t xml:space="preserve">It would raise the figure, so it stays out.</w:t>
            </w:r>
          </w:p>
        </w:tc>
        <w:tc>
          <w:tcPr>
            <w:tcMar>
              <w:top w:type="dxa" w:w="40"/>
              <w:left w:type="dxa" w:w="100"/>
              <w:bottom w:type="dxa" w:w="40"/>
              <w:right w:type="dxa" w:w="100"/>
            </w:tcMar>
          </w:tcPr>
          <w:p>
            <w:r>
              <w:rPr>
                <w:color w:val="C0483F"/>
                <w:sz w:val="17"/>
                <w:szCs w:val="17"/>
              </w:rPr>
              <w:t xml:space="preserve">Students include every convertible security they are given. The test is arithmetic and it is run first.</w:t>
            </w:r>
          </w:p>
        </w:tc>
      </w:tr>
      <w:tr>
        <w:tc>
          <w:tcPr>
            <w:shd w:fill="F5F7FC" w:val="clear"/>
            <w:tcMar>
              <w:top w:type="dxa" w:w="40"/>
              <w:left w:type="dxa" w:w="100"/>
              <w:bottom w:type="dxa" w:w="40"/>
              <w:right w:type="dxa" w:w="100"/>
            </w:tcMar>
          </w:tcPr>
          <w:p>
            <w:r>
              <w:rPr>
                <w:b/>
                <w:bCs/>
                <w:sz w:val="17"/>
                <w:szCs w:val="17"/>
              </w:rPr>
              <w:t xml:space="preserve">9</w:t>
            </w:r>
          </w:p>
        </w:tc>
        <w:tc>
          <w:tcPr>
            <w:tcMar>
              <w:top w:type="dxa" w:w="40"/>
              <w:left w:type="dxa" w:w="100"/>
              <w:bottom w:type="dxa" w:w="40"/>
              <w:right w:type="dxa" w:w="100"/>
            </w:tcMar>
          </w:tcPr>
          <w:p>
            <w:r>
              <w:rPr>
                <w:b/>
                <w:bCs/>
                <w:sz w:val="17"/>
                <w:szCs w:val="17"/>
              </w:rPr>
              <w:t xml:space="preserve">nil</w:t>
            </w:r>
          </w:p>
        </w:tc>
        <w:tc>
          <w:tcPr>
            <w:tcMar>
              <w:top w:type="dxa" w:w="40"/>
              <w:left w:type="dxa" w:w="100"/>
              <w:bottom w:type="dxa" w:w="40"/>
              <w:right w:type="dxa" w:w="100"/>
            </w:tcMar>
          </w:tcPr>
          <w:p>
            <w:r>
              <w:rPr>
                <w:sz w:val="17"/>
                <w:szCs w:val="17"/>
              </w:rPr>
              <w:t xml:space="preserve">No income added, so nothing over the shares.</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Grid 1</w:t>
            </w:r>
          </w:p>
        </w:tc>
        <w:tc>
          <w:tcPr>
            <w:tcMar>
              <w:top w:type="dxa" w:w="40"/>
              <w:left w:type="dxa" w:w="100"/>
              <w:bottom w:type="dxa" w:w="40"/>
              <w:right w:type="dxa" w:w="100"/>
            </w:tcMar>
          </w:tcPr>
          <w:p>
            <w:r>
              <w:rPr>
                <w:b/>
                <w:bCs/>
                <w:sz w:val="17"/>
                <w:szCs w:val="17"/>
              </w:rPr>
              <w:t xml:space="preserve">1 TRUE  2 TRUE  3 TRUE  4 FALSE  5 TRUE  6 FALSE</w:t>
            </w:r>
          </w:p>
        </w:tc>
        <w:tc>
          <w:tcPr>
            <w:tcMar>
              <w:top w:type="dxa" w:w="40"/>
              <w:left w:type="dxa" w:w="100"/>
              <w:bottom w:type="dxa" w:w="40"/>
              <w:right w:type="dxa" w:w="100"/>
            </w:tcMar>
          </w:tcPr>
          <w:p>
            <w:r>
              <w:rPr>
                <w:sz w:val="17"/>
                <w:szCs w:val="17"/>
              </w:rPr>
              <w:t xml:space="preserve">The last is the rule the whole topic protects. If your diluted figure is above your basic one, a security has been included that should not have been.</w:t>
            </w:r>
          </w:p>
        </w:tc>
        <w:tc>
          <w:tcPr>
            <w:tcMar>
              <w:top w:type="dxa" w:w="40"/>
              <w:left w:type="dxa" w:w="100"/>
              <w:bottom w:type="dxa" w:w="40"/>
              <w:right w:type="dxa" w:w="100"/>
            </w:tcMar>
          </w:tcPr>
          <w:p>
            <w:r>
              <w:rPr>
                <w:color w:val="6B7280"/>
                <w:sz w:val="17"/>
                <w:szCs w:val="17"/>
              </w:rPr>
              <w:t xml:space="preserve"/>
            </w:r>
          </w:p>
        </w:tc>
      </w:tr>
    </w:tbl>
    <w:p/>
    <w:p>
      <w:pPr>
        <w:spacing w:after="40" w:before="130"/>
      </w:pPr>
      <w:r>
        <w:rPr>
          <w:b/>
          <w:bCs/>
          <w:color w:val="23265A"/>
          <w:sz w:val="24"/>
          <w:szCs w:val="24"/>
        </w:rPr>
        <w:t xml:space="preserve">Exam-pitch questions</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2"/>
        <w:gridCol w:w="40"/>
        <w:gridCol w:w="33"/>
      </w:tblGrid>
      <w:tr>
        <w:tc>
          <w:tcPr>
            <w:shd w:fill="353A7C" w:val="clear"/>
            <w:tcMar>
              <w:top w:type="dxa" w:w="55"/>
              <w:left w:type="dxa" w:w="115"/>
              <w:bottom w:type="dxa" w:w="55"/>
              <w:right w:type="dxa" w:w="115"/>
            </w:tcMar>
          </w:tcPr>
          <w:p>
            <w:r>
              <w:rPr>
                <w:b/>
                <w:bCs/>
                <w:color w:val="FFFFFF"/>
                <w:sz w:val="17"/>
                <w:szCs w:val="17"/>
              </w:rPr>
              <w:t xml:space="preserve">#</w:t>
            </w:r>
          </w:p>
        </w:tc>
        <w:tc>
          <w:tcPr>
            <w:shd w:fill="353A7C" w:val="clear"/>
            <w:tcMar>
              <w:top w:type="dxa" w:w="55"/>
              <w:left w:type="dxa" w:w="115"/>
              <w:bottom w:type="dxa" w:w="55"/>
              <w:right w:type="dxa" w:w="115"/>
            </w:tcMar>
          </w:tcPr>
          <w:p>
            <w:r>
              <w:rPr>
                <w:b/>
                <w:bCs/>
                <w:color w:val="FFFFFF"/>
                <w:sz w:val="17"/>
                <w:szCs w:val="17"/>
              </w:rPr>
              <w:t xml:space="preserve">Answer</w:t>
            </w:r>
          </w:p>
        </w:tc>
        <w:tc>
          <w:tcPr>
            <w:shd w:fill="353A7C" w:val="clear"/>
            <w:tcMar>
              <w:top w:type="dxa" w:w="55"/>
              <w:left w:type="dxa" w:w="115"/>
              <w:bottom w:type="dxa" w:w="55"/>
              <w:right w:type="dxa" w:w="115"/>
            </w:tcMar>
          </w:tcPr>
          <w:p>
            <w:r>
              <w:rPr>
                <w:b/>
                <w:bCs/>
                <w:color w:val="FFFFFF"/>
                <w:sz w:val="17"/>
                <w:szCs w:val="17"/>
              </w:rPr>
              <w:t xml:space="preserve">Why</w:t>
            </w:r>
          </w:p>
        </w:tc>
        <w:tc>
          <w:tcPr>
            <w:shd w:fill="353A7C" w:val="clear"/>
            <w:tcMar>
              <w:top w:type="dxa" w:w="55"/>
              <w:left w:type="dxa" w:w="115"/>
              <w:bottom w:type="dxa" w:w="55"/>
              <w:right w:type="dxa" w:w="115"/>
            </w:tcMar>
          </w:tcPr>
          <w:p>
            <w:r>
              <w:rPr>
                <w:b/>
                <w:bCs/>
                <w:color w:val="FFFFFF"/>
                <w:sz w:val="17"/>
                <w:szCs w:val="17"/>
              </w:rPr>
              <w:t xml:space="preserve">The trap it defeats</w:t>
            </w:r>
          </w:p>
        </w:tc>
      </w:tr>
      <w:tr>
        <w:tc>
          <w:tcPr>
            <w:shd w:fill="F5F7FC" w:val="clear"/>
            <w:tcMar>
              <w:top w:type="dxa" w:w="40"/>
              <w:left w:type="dxa" w:w="100"/>
              <w:bottom w:type="dxa" w:w="40"/>
              <w:right w:type="dxa" w:w="100"/>
            </w:tcMar>
          </w:tcPr>
          <w:p>
            <w:r>
              <w:rPr>
                <w:b/>
                <w:bCs/>
                <w:sz w:val="17"/>
                <w:szCs w:val="17"/>
              </w:rPr>
              <w:t xml:space="preserve">1</w:t>
            </w:r>
          </w:p>
        </w:tc>
        <w:tc>
          <w:tcPr>
            <w:tcMar>
              <w:top w:type="dxa" w:w="40"/>
              <w:left w:type="dxa" w:w="100"/>
              <w:bottom w:type="dxa" w:w="40"/>
              <w:right w:type="dxa" w:w="100"/>
            </w:tcMar>
          </w:tcPr>
          <w:p>
            <w:r>
              <w:rPr>
                <w:b/>
                <w:bCs/>
                <w:sz w:val="17"/>
                <w:szCs w:val="17"/>
              </w:rPr>
              <w:t xml:space="preserve">(B)  The numerator and the denominator</w:t>
            </w:r>
          </w:p>
        </w:tc>
        <w:tc>
          <w:tcPr>
            <w:tcMar>
              <w:top w:type="dxa" w:w="40"/>
              <w:left w:type="dxa" w:w="100"/>
              <w:bottom w:type="dxa" w:w="40"/>
              <w:right w:type="dxa" w:w="100"/>
            </w:tcMar>
          </w:tcPr>
          <w:p>
            <w:r>
              <w:rPr>
                <w:sz w:val="17"/>
                <w:szCs w:val="17"/>
              </w:rPr>
              <w:t xml:space="preserve">Conversion issues shares and stops the interest, so both move. (A) is the treasury stock method’s effect, and distinguishing the two is most of this handout.</w:t>
            </w:r>
          </w:p>
        </w:tc>
        <w:tc>
          <w:tcPr>
            <w:tcMar>
              <w:top w:type="dxa" w:w="40"/>
              <w:left w:type="dxa" w:w="100"/>
              <w:bottom w:type="dxa" w:w="40"/>
              <w:right w:type="dxa" w:w="100"/>
            </w:tcMar>
          </w:tcPr>
          <w:p>
            <w:r>
              <w:rPr>
                <w:color w:val="C0483F"/>
                <w:sz w:val="17"/>
                <w:szCs w:val="17"/>
              </w:rPr>
              <w:t xml:space="preserve">Level A</w:t>
            </w:r>
          </w:p>
        </w:tc>
      </w:tr>
      <w:tr>
        <w:tc>
          <w:tcPr>
            <w:shd w:fill="F5F7FC" w:val="clear"/>
            <w:tcMar>
              <w:top w:type="dxa" w:w="40"/>
              <w:left w:type="dxa" w:w="100"/>
              <w:bottom w:type="dxa" w:w="40"/>
              <w:right w:type="dxa" w:w="100"/>
            </w:tcMar>
          </w:tcPr>
          <w:p>
            <w:r>
              <w:rPr>
                <w:b/>
                <w:bCs/>
                <w:sz w:val="17"/>
                <w:szCs w:val="17"/>
              </w:rPr>
              <w:t xml:space="preserve">2</w:t>
            </w:r>
          </w:p>
        </w:tc>
        <w:tc>
          <w:tcPr>
            <w:tcMar>
              <w:top w:type="dxa" w:w="40"/>
              <w:left w:type="dxa" w:w="100"/>
              <w:bottom w:type="dxa" w:w="40"/>
              <w:right w:type="dxa" w:w="100"/>
            </w:tcMar>
          </w:tcPr>
          <w:p>
            <w:r>
              <w:rPr>
                <w:b/>
                <w:bCs/>
                <w:sz w:val="17"/>
                <w:szCs w:val="17"/>
              </w:rPr>
              <w:t xml:space="preserve">(B)  $55,209</w:t>
            </w:r>
          </w:p>
        </w:tc>
        <w:tc>
          <w:tcPr>
            <w:tcMar>
              <w:top w:type="dxa" w:w="40"/>
              <w:left w:type="dxa" w:w="100"/>
              <w:bottom w:type="dxa" w:w="40"/>
              <w:right w:type="dxa" w:w="100"/>
            </w:tcMar>
          </w:tcPr>
          <w:p>
            <w:r>
              <w:rPr>
                <w:sz w:val="17"/>
                <w:szCs w:val="17"/>
              </w:rPr>
              <w:t xml:space="preserve">$73,612 net of $18,403 tax relief is $55,209. (A) adds back the gross interest and forgets that the deduction would have been lost too.</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3</w:t>
            </w:r>
          </w:p>
        </w:tc>
        <w:tc>
          <w:tcPr>
            <w:tcMar>
              <w:top w:type="dxa" w:w="40"/>
              <w:left w:type="dxa" w:w="100"/>
              <w:bottom w:type="dxa" w:w="40"/>
              <w:right w:type="dxa" w:w="100"/>
            </w:tcMar>
          </w:tcPr>
          <w:p>
            <w:r>
              <w:rPr>
                <w:b/>
                <w:bCs/>
                <w:sz w:val="17"/>
                <w:szCs w:val="17"/>
              </w:rPr>
              <w:t xml:space="preserve">(B)  $4.50</w:t>
            </w:r>
          </w:p>
        </w:tc>
        <w:tc>
          <w:tcPr>
            <w:tcMar>
              <w:top w:type="dxa" w:w="40"/>
              <w:left w:type="dxa" w:w="100"/>
              <w:bottom w:type="dxa" w:w="40"/>
              <w:right w:type="dxa" w:w="100"/>
            </w:tcMar>
          </w:tcPr>
          <w:p>
            <w:r>
              <w:rPr>
                <w:sz w:val="17"/>
                <w:szCs w:val="17"/>
              </w:rPr>
              <w:t xml:space="preserve">$90,000 over 20,000 shares, with no tax adjustment because preferred dividends are not deductible. (A) applies a tax effect that does not exist here.</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4</w:t>
            </w:r>
          </w:p>
        </w:tc>
        <w:tc>
          <w:tcPr>
            <w:tcMar>
              <w:top w:type="dxa" w:w="40"/>
              <w:left w:type="dxa" w:w="100"/>
              <w:bottom w:type="dxa" w:w="40"/>
              <w:right w:type="dxa" w:w="100"/>
            </w:tcMar>
          </w:tcPr>
          <w:p>
            <w:r>
              <w:rPr>
                <w:b/>
                <w:bCs/>
                <w:sz w:val="17"/>
                <w:szCs w:val="17"/>
              </w:rPr>
              <w:t xml:space="preserve">(B)  Excluded as antidilutive</w:t>
            </w:r>
          </w:p>
        </w:tc>
        <w:tc>
          <w:tcPr>
            <w:tcMar>
              <w:top w:type="dxa" w:w="40"/>
              <w:left w:type="dxa" w:w="100"/>
              <w:bottom w:type="dxa" w:w="40"/>
              <w:right w:type="dxa" w:w="100"/>
            </w:tcMar>
          </w:tcPr>
          <w:p>
            <w:r>
              <w:rPr>
                <w:sz w:val="17"/>
                <w:szCs w:val="17"/>
              </w:rPr>
              <w:t xml:space="preserve">Including it would raise the figure, which the measure forbids. (C) is the trap for a candidate who has learned the ordering rule and not the exclusion rule.</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5</w:t>
            </w:r>
          </w:p>
        </w:tc>
        <w:tc>
          <w:tcPr>
            <w:tcMar>
              <w:top w:type="dxa" w:w="40"/>
              <w:left w:type="dxa" w:w="100"/>
              <w:bottom w:type="dxa" w:w="40"/>
              <w:right w:type="dxa" w:w="100"/>
            </w:tcMar>
          </w:tcPr>
          <w:p>
            <w:r>
              <w:rPr>
                <w:b/>
                <w:bCs/>
                <w:sz w:val="17"/>
                <w:szCs w:val="17"/>
              </w:rPr>
              <w:t xml:space="preserve">(B)  Included, because $1.50 is below the basic $1.75</w:t>
            </w:r>
          </w:p>
        </w:tc>
        <w:tc>
          <w:tcPr>
            <w:tcMar>
              <w:top w:type="dxa" w:w="40"/>
              <w:left w:type="dxa" w:w="100"/>
              <w:bottom w:type="dxa" w:w="40"/>
              <w:right w:type="dxa" w:w="100"/>
            </w:tcMar>
          </w:tcPr>
          <w:p>
            <w:r>
              <w:rPr>
                <w:sz w:val="17"/>
                <w:szCs w:val="17"/>
              </w:rPr>
              <w:t xml:space="preserve">The test is against the basic figure, security by security, and the securities are then added in order. (A) tests against the diluted figure, which is the result rather than the benchmark.</w:t>
            </w:r>
          </w:p>
        </w:tc>
        <w:tc>
          <w:tcPr>
            <w:tcMar>
              <w:top w:type="dxa" w:w="40"/>
              <w:left w:type="dxa" w:w="100"/>
              <w:bottom w:type="dxa" w:w="40"/>
              <w:right w:type="dxa" w:w="100"/>
            </w:tcMar>
          </w:tcPr>
          <w:p>
            <w:r>
              <w:rPr>
                <w:color w:val="C0483F"/>
                <w:sz w:val="17"/>
                <w:szCs w:val="17"/>
              </w:rPr>
              <w:t xml:space="preserve">Level C</w:t>
            </w:r>
          </w:p>
        </w:tc>
      </w:tr>
      <w:tr>
        <w:tc>
          <w:tcPr>
            <w:shd w:fill="F5F7FC" w:val="clear"/>
            <w:tcMar>
              <w:top w:type="dxa" w:w="40"/>
              <w:left w:type="dxa" w:w="100"/>
              <w:bottom w:type="dxa" w:w="40"/>
              <w:right w:type="dxa" w:w="100"/>
            </w:tcMar>
          </w:tcPr>
          <w:p>
            <w:r>
              <w:rPr>
                <w:b/>
                <w:bCs/>
                <w:sz w:val="17"/>
                <w:szCs w:val="17"/>
              </w:rPr>
              <w:t xml:space="preserve">6</w:t>
            </w:r>
          </w:p>
        </w:tc>
        <w:tc>
          <w:tcPr>
            <w:tcMar>
              <w:top w:type="dxa" w:w="40"/>
              <w:left w:type="dxa" w:w="100"/>
              <w:bottom w:type="dxa" w:w="40"/>
              <w:right w:type="dxa" w:w="100"/>
            </w:tcMar>
          </w:tcPr>
          <w:p>
            <w:r>
              <w:rPr>
                <w:b/>
                <w:bCs/>
                <w:sz w:val="17"/>
                <w:szCs w:val="17"/>
              </w:rPr>
              <w:t xml:space="preserve">(B)  From the most dilutive to the least</w:t>
            </w:r>
          </w:p>
        </w:tc>
        <w:tc>
          <w:tcPr>
            <w:tcMar>
              <w:top w:type="dxa" w:w="40"/>
              <w:left w:type="dxa" w:w="100"/>
              <w:bottom w:type="dxa" w:w="40"/>
              <w:right w:type="dxa" w:w="100"/>
            </w:tcMar>
          </w:tcPr>
          <w:p>
            <w:r>
              <w:rPr>
                <w:sz w:val="17"/>
                <w:szCs w:val="17"/>
              </w:rPr>
              <w:t xml:space="preserve">Most dilutive first, because the order changes the answer and the standard fixes one. (D) is false precisely because a security can turn antidilutive once others have lowered the figure.</w:t>
            </w:r>
          </w:p>
        </w:tc>
        <w:tc>
          <w:tcPr>
            <w:tcMar>
              <w:top w:type="dxa" w:w="40"/>
              <w:left w:type="dxa" w:w="100"/>
              <w:bottom w:type="dxa" w:w="40"/>
              <w:right w:type="dxa" w:w="100"/>
            </w:tcMar>
          </w:tcPr>
          <w:p>
            <w:r>
              <w:rPr>
                <w:color w:val="C0483F"/>
                <w:sz w:val="17"/>
                <w:szCs w:val="17"/>
              </w:rPr>
              <w:t xml:space="preserve">Level C</w:t>
            </w:r>
          </w:p>
        </w:tc>
      </w:tr>
      <w:tr>
        <w:tc>
          <w:tcPr>
            <w:shd w:fill="F5F7FC" w:val="clear"/>
            <w:tcMar>
              <w:top w:type="dxa" w:w="40"/>
              <w:left w:type="dxa" w:w="100"/>
              <w:bottom w:type="dxa" w:w="40"/>
              <w:right w:type="dxa" w:w="100"/>
            </w:tcMar>
          </w:tcPr>
          <w:p>
            <w:r>
              <w:rPr>
                <w:b/>
                <w:bCs/>
                <w:sz w:val="17"/>
                <w:szCs w:val="17"/>
              </w:rPr>
              <w:t xml:space="preserve">7</w:t>
            </w:r>
          </w:p>
        </w:tc>
        <w:tc>
          <w:tcPr>
            <w:tcMar>
              <w:top w:type="dxa" w:w="40"/>
              <w:left w:type="dxa" w:w="100"/>
              <w:bottom w:type="dxa" w:w="40"/>
              <w:right w:type="dxa" w:w="100"/>
            </w:tcMar>
          </w:tcPr>
          <w:p>
            <w:r>
              <w:rPr>
                <w:b/>
                <w:bCs/>
                <w:sz w:val="17"/>
                <w:szCs w:val="17"/>
              </w:rPr>
              <w:t xml:space="preserve">(B)  An antidilutive security has been included in error</w:t>
            </w:r>
          </w:p>
        </w:tc>
        <w:tc>
          <w:tcPr>
            <w:tcMar>
              <w:top w:type="dxa" w:w="40"/>
              <w:left w:type="dxa" w:w="100"/>
              <w:bottom w:type="dxa" w:w="40"/>
              <w:right w:type="dxa" w:w="100"/>
            </w:tcMar>
          </w:tcPr>
          <w:p>
            <w:r>
              <w:rPr>
                <w:sz w:val="17"/>
                <w:szCs w:val="17"/>
              </w:rPr>
              <w:t xml:space="preserve">Diluted can never exceed basic, so the result is an error rather than a finding. (C) can change the answer and cannot push it above basic, because the exclusion test runs first.</w:t>
            </w:r>
          </w:p>
        </w:tc>
        <w:tc>
          <w:tcPr>
            <w:tcMar>
              <w:top w:type="dxa" w:w="40"/>
              <w:left w:type="dxa" w:w="100"/>
              <w:bottom w:type="dxa" w:w="40"/>
              <w:right w:type="dxa" w:w="100"/>
            </w:tcMar>
          </w:tcPr>
          <w:p>
            <w:r>
              <w:rPr>
                <w:color w:val="C0483F"/>
                <w:sz w:val="17"/>
                <w:szCs w:val="17"/>
              </w:rPr>
              <w:t xml:space="preserve">Level A</w:t>
            </w:r>
          </w:p>
        </w:tc>
      </w:tr>
    </w:tbl>
    <w:p/>
    <w:p>
      <w:pPr>
        <w:spacing w:after="40" w:before="130"/>
      </w:pPr>
      <w:r>
        <w:rPr>
          <w:b/>
          <w:bCs/>
          <w:color w:val="23265A"/>
          <w:sz w:val="24"/>
          <w:szCs w:val="24"/>
        </w:rPr>
        <w:t xml:space="preserve">Exercise 3B · the if-converted add-back</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68"/>
        <w:gridCol w:w="32"/>
      </w:tblGrid>
      <w:tr>
        <w:tc>
          <w:tcPr>
            <w:shd w:fill="A05A2B" w:val="clear"/>
            <w:tcMar>
              <w:top w:type="dxa" w:w="60"/>
              <w:left w:type="dxa" w:w="120"/>
              <w:bottom w:type="dxa" w:w="60"/>
              <w:right w:type="dxa" w:w="120"/>
            </w:tcMar>
          </w:tcPr>
          <w:p>
            <w:r>
              <w:rPr>
                <w:b/>
                <w:bCs/>
                <w:color w:val="FFFFFF"/>
                <w:sz w:val="19"/>
                <w:szCs w:val="19"/>
              </w:rPr>
              <w:t xml:space="preserve">The if-converted method</w:t>
            </w:r>
          </w:p>
        </w:tc>
        <w:tc>
          <w:tcPr>
            <w:shd w:fill="A05A2B" w:val="clear"/>
            <w:tcMar>
              <w:top w:type="dxa" w:w="60"/>
              <w:left w:type="dxa" w:w="120"/>
              <w:bottom w:type="dxa" w:w="60"/>
              <w:right w:type="dxa" w:w="120"/>
            </w:tcMar>
          </w:tcPr>
          <w:p>
            <w:r>
              <w:rPr>
                <w:b/>
                <w:bCs/>
                <w:color w:val="FFFFFF"/>
                <w:sz w:val="19"/>
                <w:szCs w:val="19"/>
              </w:rPr>
              <w:t xml:space="preserve">Amount</w:t>
            </w:r>
          </w:p>
        </w:tc>
      </w:tr>
      <w:tr>
        <w:tc>
          <w:tcPr>
            <w:tcMar>
              <w:top w:type="dxa" w:w="60"/>
              <w:left w:type="dxa" w:w="120"/>
              <w:bottom w:type="dxa" w:w="60"/>
              <w:right w:type="dxa" w:w="120"/>
            </w:tcMar>
          </w:tcPr>
          <w:p>
            <w:r>
              <w:rPr>
                <w:sz w:val="19"/>
                <w:szCs w:val="19"/>
              </w:rPr>
              <w:t xml:space="preserve">Interest on the convertible bond for the year</w:t>
            </w:r>
          </w:p>
        </w:tc>
        <w:tc>
          <w:tcPr>
            <w:tcMar>
              <w:top w:type="dxa" w:w="60"/>
              <w:left w:type="dxa" w:w="120"/>
              <w:bottom w:type="dxa" w:w="60"/>
              <w:right w:type="dxa" w:w="120"/>
            </w:tcMar>
          </w:tcPr>
          <w:p>
            <w:r>
              <w:rPr>
                <w:sz w:val="19"/>
                <w:szCs w:val="19"/>
              </w:rPr>
              <w:t xml:space="preserve">$73,612</w:t>
            </w:r>
          </w:p>
        </w:tc>
      </w:tr>
      <w:tr>
        <w:tc>
          <w:tcPr>
            <w:tcMar>
              <w:top w:type="dxa" w:w="60"/>
              <w:left w:type="dxa" w:w="120"/>
              <w:bottom w:type="dxa" w:w="60"/>
              <w:right w:type="dxa" w:w="120"/>
            </w:tcMar>
          </w:tcPr>
          <w:p>
            <w:r>
              <w:rPr>
                <w:sz w:val="19"/>
                <w:szCs w:val="19"/>
              </w:rPr>
              <w:t xml:space="preserve">Less tax relief at 25%</w:t>
            </w:r>
          </w:p>
        </w:tc>
        <w:tc>
          <w:tcPr>
            <w:tcMar>
              <w:top w:type="dxa" w:w="60"/>
              <w:left w:type="dxa" w:w="120"/>
              <w:bottom w:type="dxa" w:w="60"/>
              <w:right w:type="dxa" w:w="120"/>
            </w:tcMar>
          </w:tcPr>
          <w:p>
            <w:r>
              <w:rPr>
                <w:sz w:val="19"/>
                <w:szCs w:val="19"/>
              </w:rPr>
              <w:t xml:space="preserve">($18,403)</w:t>
            </w:r>
          </w:p>
        </w:tc>
      </w:tr>
      <w:tr>
        <w:tc>
          <w:tcPr>
            <w:tcMar>
              <w:top w:type="dxa" w:w="60"/>
              <w:left w:type="dxa" w:w="120"/>
              <w:bottom w:type="dxa" w:w="60"/>
              <w:right w:type="dxa" w:w="120"/>
            </w:tcMar>
          </w:tcPr>
          <w:p>
            <w:r>
              <w:rPr>
                <w:sz w:val="19"/>
                <w:szCs w:val="19"/>
              </w:rPr>
              <w:t xml:space="preserve">Added back to the numerator</w:t>
            </w:r>
          </w:p>
        </w:tc>
        <w:tc>
          <w:tcPr>
            <w:tcMar>
              <w:top w:type="dxa" w:w="60"/>
              <w:left w:type="dxa" w:w="120"/>
              <w:bottom w:type="dxa" w:w="60"/>
              <w:right w:type="dxa" w:w="120"/>
            </w:tcMar>
          </w:tcPr>
          <w:p>
            <w:r>
              <w:rPr>
                <w:sz w:val="19"/>
                <w:szCs w:val="19"/>
              </w:rPr>
              <w:t xml:space="preserve">$55,209</w:t>
            </w:r>
          </w:p>
        </w:tc>
      </w:tr>
      <w:tr>
        <w:tc>
          <w:tcPr>
            <w:tcMar>
              <w:top w:type="dxa" w:w="60"/>
              <w:left w:type="dxa" w:w="120"/>
              <w:bottom w:type="dxa" w:w="60"/>
              <w:right w:type="dxa" w:w="120"/>
            </w:tcMar>
          </w:tcPr>
          <w:p>
            <w:r>
              <w:rPr>
                <w:sz w:val="19"/>
                <w:szCs w:val="19"/>
              </w:rPr>
              <w:t xml:space="preserve">Shares issuable on conversion</w:t>
            </w:r>
          </w:p>
        </w:tc>
        <w:tc>
          <w:tcPr>
            <w:tcMar>
              <w:top w:type="dxa" w:w="60"/>
              <w:left w:type="dxa" w:w="120"/>
              <w:bottom w:type="dxa" w:w="60"/>
              <w:right w:type="dxa" w:w="120"/>
            </w:tcMar>
          </w:tcPr>
          <w:p>
            <w:r>
              <w:rPr>
                <w:sz w:val="19"/>
                <w:szCs w:val="19"/>
              </w:rPr>
              <w:t xml:space="preserve">40,000</w:t>
            </w:r>
          </w:p>
        </w:tc>
      </w:tr>
      <w:tr>
        <w:tc>
          <w:tcPr>
            <w:tcMar>
              <w:top w:type="dxa" w:w="60"/>
              <w:left w:type="dxa" w:w="120"/>
              <w:bottom w:type="dxa" w:w="60"/>
              <w:right w:type="dxa" w:w="120"/>
            </w:tcMar>
          </w:tcPr>
          <w:p>
            <w:r>
              <w:rPr>
                <w:sz w:val="19"/>
                <w:szCs w:val="19"/>
              </w:rPr>
              <w:t xml:space="preserve">Incremental earnings per share</w:t>
            </w:r>
          </w:p>
        </w:tc>
        <w:tc>
          <w:tcPr>
            <w:tcMar>
              <w:top w:type="dxa" w:w="60"/>
              <w:left w:type="dxa" w:w="120"/>
              <w:bottom w:type="dxa" w:w="60"/>
              <w:right w:type="dxa" w:w="120"/>
            </w:tcMar>
          </w:tcPr>
          <w:p>
            <w:r>
              <w:rPr>
                <w:sz w:val="19"/>
                <w:szCs w:val="19"/>
              </w:rPr>
              <w:t xml:space="preserve">$1.3802</w:t>
            </w:r>
          </w:p>
        </w:tc>
      </w:tr>
    </w:tbl>
    <w:p/>
    <w:p>
      <w:pPr>
        <w:spacing w:after="40" w:before="130"/>
      </w:pPr>
      <w:r>
        <w:rPr>
          <w:b/>
          <w:bCs/>
          <w:color w:val="23265A"/>
          <w:sz w:val="24"/>
          <w:szCs w:val="24"/>
        </w:rPr>
        <w:t xml:space="preserve">Exercise 3C · which securities qualify</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30"/>
        <w:gridCol w:w="24"/>
        <w:gridCol w:w="26"/>
        <w:gridCol w:w="20"/>
      </w:tblGrid>
      <w:tr>
        <w:tc>
          <w:tcPr>
            <w:shd w:fill="44506B" w:val="clear"/>
            <w:tcMar>
              <w:top w:type="dxa" w:w="60"/>
              <w:left w:type="dxa" w:w="120"/>
              <w:bottom w:type="dxa" w:w="60"/>
              <w:right w:type="dxa" w:w="120"/>
            </w:tcMar>
          </w:tcPr>
          <w:p>
            <w:r>
              <w:rPr>
                <w:b/>
                <w:bCs/>
                <w:color w:val="FFFFFF"/>
                <w:sz w:val="19"/>
                <w:szCs w:val="19"/>
              </w:rPr>
              <w:t xml:space="preserve">Security</w:t>
            </w:r>
          </w:p>
        </w:tc>
        <w:tc>
          <w:tcPr>
            <w:shd w:fill="44506B" w:val="clear"/>
            <w:tcMar>
              <w:top w:type="dxa" w:w="60"/>
              <w:left w:type="dxa" w:w="120"/>
              <w:bottom w:type="dxa" w:w="60"/>
              <w:right w:type="dxa" w:w="120"/>
            </w:tcMar>
          </w:tcPr>
          <w:p>
            <w:r>
              <w:rPr>
                <w:b/>
                <w:bCs/>
                <w:color w:val="FFFFFF"/>
                <w:sz w:val="19"/>
                <w:szCs w:val="19"/>
              </w:rPr>
              <w:t xml:space="preserve">Incremental EPS</w:t>
            </w:r>
          </w:p>
        </w:tc>
        <w:tc>
          <w:tcPr>
            <w:shd w:fill="44506B" w:val="clear"/>
            <w:tcMar>
              <w:top w:type="dxa" w:w="60"/>
              <w:left w:type="dxa" w:w="120"/>
              <w:bottom w:type="dxa" w:w="60"/>
              <w:right w:type="dxa" w:w="120"/>
            </w:tcMar>
          </w:tcPr>
          <w:p>
            <w:r>
              <w:rPr>
                <w:b/>
                <w:bCs/>
                <w:color w:val="FFFFFF"/>
                <w:sz w:val="19"/>
                <w:szCs w:val="19"/>
              </w:rPr>
              <w:t xml:space="preserve">Against basic of $1.75</w:t>
            </w:r>
          </w:p>
        </w:tc>
        <w:tc>
          <w:tcPr>
            <w:shd w:fill="44506B" w:val="clear"/>
            <w:tcMar>
              <w:top w:type="dxa" w:w="60"/>
              <w:left w:type="dxa" w:w="120"/>
              <w:bottom w:type="dxa" w:w="60"/>
              <w:right w:type="dxa" w:w="120"/>
            </w:tcMar>
          </w:tcPr>
          <w:p>
            <w:r>
              <w:rPr>
                <w:b/>
                <w:bCs/>
                <w:color w:val="FFFFFF"/>
                <w:sz w:val="19"/>
                <w:szCs w:val="19"/>
              </w:rPr>
              <w:t xml:space="preserve">Included?</w:t>
            </w:r>
          </w:p>
        </w:tc>
      </w:tr>
      <w:tr>
        <w:tc>
          <w:tcPr>
            <w:tcMar>
              <w:top w:type="dxa" w:w="60"/>
              <w:left w:type="dxa" w:w="120"/>
              <w:bottom w:type="dxa" w:w="60"/>
              <w:right w:type="dxa" w:w="120"/>
            </w:tcMar>
          </w:tcPr>
          <w:p>
            <w:r>
              <w:rPr>
                <w:sz w:val="19"/>
                <w:szCs w:val="19"/>
              </w:rPr>
              <w:t xml:space="preserve">Options, 30,000 at $6</w:t>
            </w:r>
          </w:p>
        </w:tc>
        <w:tc>
          <w:tcPr>
            <w:tcMar>
              <w:top w:type="dxa" w:w="60"/>
              <w:left w:type="dxa" w:w="120"/>
              <w:bottom w:type="dxa" w:w="60"/>
              <w:right w:type="dxa" w:w="120"/>
            </w:tcMar>
          </w:tcPr>
          <w:p>
            <w:r>
              <w:rPr>
                <w:sz w:val="19"/>
                <w:szCs w:val="19"/>
              </w:rPr>
              <w:t xml:space="preserve">Nil</w:t>
            </w:r>
          </w:p>
        </w:tc>
        <w:tc>
          <w:tcPr>
            <w:tcMar>
              <w:top w:type="dxa" w:w="60"/>
              <w:left w:type="dxa" w:w="120"/>
              <w:bottom w:type="dxa" w:w="60"/>
              <w:right w:type="dxa" w:w="120"/>
            </w:tcMar>
          </w:tcPr>
          <w:p>
            <w:r>
              <w:rPr>
                <w:sz w:val="19"/>
                <w:szCs w:val="19"/>
              </w:rPr>
              <w:t xml:space="preserve">Below</w:t>
            </w:r>
          </w:p>
        </w:tc>
        <w:tc>
          <w:tcPr>
            <w:tcMar>
              <w:top w:type="dxa" w:w="60"/>
              <w:left w:type="dxa" w:w="120"/>
              <w:bottom w:type="dxa" w:w="60"/>
              <w:right w:type="dxa" w:w="120"/>
            </w:tcMar>
          </w:tcPr>
          <w:p>
            <w:r>
              <w:rPr>
                <w:sz w:val="19"/>
                <w:szCs w:val="19"/>
              </w:rPr>
              <w:t xml:space="preserve">Yes</w:t>
            </w:r>
          </w:p>
        </w:tc>
      </w:tr>
      <w:tr>
        <w:tc>
          <w:tcPr>
            <w:tcMar>
              <w:top w:type="dxa" w:w="60"/>
              <w:left w:type="dxa" w:w="120"/>
              <w:bottom w:type="dxa" w:w="60"/>
              <w:right w:type="dxa" w:w="120"/>
            </w:tcMar>
          </w:tcPr>
          <w:p>
            <w:r>
              <w:rPr>
                <w:sz w:val="19"/>
                <w:szCs w:val="19"/>
              </w:rPr>
              <w:t xml:space="preserve">Convertible bond, 40,000 shares</w:t>
            </w:r>
          </w:p>
        </w:tc>
        <w:tc>
          <w:tcPr>
            <w:tcMar>
              <w:top w:type="dxa" w:w="60"/>
              <w:left w:type="dxa" w:w="120"/>
              <w:bottom w:type="dxa" w:w="60"/>
              <w:right w:type="dxa" w:w="120"/>
            </w:tcMar>
          </w:tcPr>
          <w:p>
            <w:r>
              <w:rPr>
                <w:sz w:val="19"/>
                <w:szCs w:val="19"/>
              </w:rPr>
              <w:t xml:space="preserve">$1.3802</w:t>
            </w:r>
          </w:p>
        </w:tc>
        <w:tc>
          <w:tcPr>
            <w:tcMar>
              <w:top w:type="dxa" w:w="60"/>
              <w:left w:type="dxa" w:w="120"/>
              <w:bottom w:type="dxa" w:w="60"/>
              <w:right w:type="dxa" w:w="120"/>
            </w:tcMar>
          </w:tcPr>
          <w:p>
            <w:r>
              <w:rPr>
                <w:sz w:val="19"/>
                <w:szCs w:val="19"/>
              </w:rPr>
              <w:t xml:space="preserve">Below</w:t>
            </w:r>
          </w:p>
        </w:tc>
        <w:tc>
          <w:tcPr>
            <w:tcMar>
              <w:top w:type="dxa" w:w="60"/>
              <w:left w:type="dxa" w:w="120"/>
              <w:bottom w:type="dxa" w:w="60"/>
              <w:right w:type="dxa" w:w="120"/>
            </w:tcMar>
          </w:tcPr>
          <w:p>
            <w:r>
              <w:rPr>
                <w:sz w:val="19"/>
                <w:szCs w:val="19"/>
              </w:rPr>
              <w:t xml:space="preserve">Yes</w:t>
            </w:r>
          </w:p>
        </w:tc>
      </w:tr>
      <w:tr>
        <w:tc>
          <w:tcPr>
            <w:tcMar>
              <w:top w:type="dxa" w:w="60"/>
              <w:left w:type="dxa" w:w="120"/>
              <w:bottom w:type="dxa" w:w="60"/>
              <w:right w:type="dxa" w:w="120"/>
            </w:tcMar>
          </w:tcPr>
          <w:p>
            <w:r>
              <w:rPr>
                <w:sz w:val="19"/>
                <w:szCs w:val="19"/>
              </w:rPr>
              <w:t xml:space="preserve">Convertible preferred, 20,000 shares</w:t>
            </w:r>
          </w:p>
        </w:tc>
        <w:tc>
          <w:tcPr>
            <w:tcMar>
              <w:top w:type="dxa" w:w="60"/>
              <w:left w:type="dxa" w:w="120"/>
              <w:bottom w:type="dxa" w:w="60"/>
              <w:right w:type="dxa" w:w="120"/>
            </w:tcMar>
          </w:tcPr>
          <w:p>
            <w:r>
              <w:rPr>
                <w:sz w:val="19"/>
                <w:szCs w:val="19"/>
              </w:rPr>
              <w:t xml:space="preserve">$4.50</w:t>
            </w:r>
          </w:p>
        </w:tc>
        <w:tc>
          <w:tcPr>
            <w:tcMar>
              <w:top w:type="dxa" w:w="60"/>
              <w:left w:type="dxa" w:w="120"/>
              <w:bottom w:type="dxa" w:w="60"/>
              <w:right w:type="dxa" w:w="120"/>
            </w:tcMar>
          </w:tcPr>
          <w:p>
            <w:r>
              <w:rPr>
                <w:sz w:val="19"/>
                <w:szCs w:val="19"/>
              </w:rPr>
              <w:t xml:space="preserve">Above</w:t>
            </w:r>
          </w:p>
        </w:tc>
        <w:tc>
          <w:tcPr>
            <w:tcMar>
              <w:top w:type="dxa" w:w="60"/>
              <w:left w:type="dxa" w:w="120"/>
              <w:bottom w:type="dxa" w:w="60"/>
              <w:right w:type="dxa" w:w="120"/>
            </w:tcMar>
          </w:tcPr>
          <w:p>
            <w:r>
              <w:rPr>
                <w:sz w:val="19"/>
                <w:szCs w:val="19"/>
              </w:rPr>
              <w:t xml:space="preserve">No</w:t>
            </w:r>
          </w:p>
        </w:tc>
      </w:tr>
    </w:tbl>
    <w:p/>
    <w:p>
      <w:pPr>
        <w:spacing w:after="40" w:before="130"/>
      </w:pPr>
      <w:r>
        <w:rPr>
          <w:b/>
          <w:bCs/>
          <w:color w:val="23265A"/>
          <w:sz w:val="24"/>
          <w:szCs w:val="24"/>
        </w:rPr>
        <w:t xml:space="preserve">Exercise 3D · diluted earnings per share, complete</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34"/>
        <w:gridCol w:w="22"/>
        <w:gridCol w:w="22"/>
        <w:gridCol w:w="22"/>
      </w:tblGrid>
      <w:tr>
        <w:tc>
          <w:tcPr>
            <w:shd w:fill="1F6F8F" w:val="clear"/>
            <w:tcMar>
              <w:top w:type="dxa" w:w="60"/>
              <w:left w:type="dxa" w:w="120"/>
              <w:bottom w:type="dxa" w:w="60"/>
              <w:right w:type="dxa" w:w="120"/>
            </w:tcMar>
          </w:tcPr>
          <w:p>
            <w:r>
              <w:rPr>
                <w:b/>
                <w:bCs/>
                <w:color w:val="FFFFFF"/>
                <w:sz w:val="19"/>
                <w:szCs w:val="19"/>
              </w:rPr>
              <w:t xml:space="preserve">Diluted EPS for 20X4</w:t>
            </w:r>
          </w:p>
        </w:tc>
        <w:tc>
          <w:tcPr>
            <w:shd w:fill="1F6F8F" w:val="clear"/>
            <w:tcMar>
              <w:top w:type="dxa" w:w="60"/>
              <w:left w:type="dxa" w:w="120"/>
              <w:bottom w:type="dxa" w:w="60"/>
              <w:right w:type="dxa" w:w="120"/>
            </w:tcMar>
          </w:tcPr>
          <w:p>
            <w:r>
              <w:rPr>
                <w:b/>
                <w:bCs/>
                <w:color w:val="FFFFFF"/>
                <w:sz w:val="19"/>
                <w:szCs w:val="19"/>
              </w:rPr>
              <w:t xml:space="preserve">Numerator</w:t>
            </w:r>
          </w:p>
        </w:tc>
        <w:tc>
          <w:tcPr>
            <w:shd w:fill="1F6F8F" w:val="clear"/>
            <w:tcMar>
              <w:top w:type="dxa" w:w="60"/>
              <w:left w:type="dxa" w:w="120"/>
              <w:bottom w:type="dxa" w:w="60"/>
              <w:right w:type="dxa" w:w="120"/>
            </w:tcMar>
          </w:tcPr>
          <w:p>
            <w:r>
              <w:rPr>
                <w:b/>
                <w:bCs/>
                <w:color w:val="FFFFFF"/>
                <w:sz w:val="19"/>
                <w:szCs w:val="19"/>
              </w:rPr>
              <w:t xml:space="preserve">Denominator</w:t>
            </w:r>
          </w:p>
        </w:tc>
        <w:tc>
          <w:tcPr>
            <w:shd w:fill="1F6F8F" w:val="clear"/>
            <w:tcMar>
              <w:top w:type="dxa" w:w="60"/>
              <w:left w:type="dxa" w:w="120"/>
              <w:bottom w:type="dxa" w:w="60"/>
              <w:right w:type="dxa" w:w="120"/>
            </w:tcMar>
          </w:tcPr>
          <w:p>
            <w:r>
              <w:rPr>
                <w:b/>
                <w:bCs/>
                <w:color w:val="FFFFFF"/>
                <w:sz w:val="19"/>
                <w:szCs w:val="19"/>
              </w:rPr>
              <w:t xml:space="preserve">Per share</w:t>
            </w:r>
          </w:p>
        </w:tc>
      </w:tr>
      <w:tr>
        <w:tc>
          <w:tcPr>
            <w:tcMar>
              <w:top w:type="dxa" w:w="60"/>
              <w:left w:type="dxa" w:w="120"/>
              <w:bottom w:type="dxa" w:w="60"/>
              <w:right w:type="dxa" w:w="120"/>
            </w:tcMar>
          </w:tcPr>
          <w:p>
            <w:r>
              <w:rPr>
                <w:sz w:val="19"/>
                <w:szCs w:val="19"/>
              </w:rPr>
              <w:t xml:space="preserve">Basic</w:t>
            </w:r>
          </w:p>
        </w:tc>
        <w:tc>
          <w:tcPr>
            <w:tcMar>
              <w:top w:type="dxa" w:w="60"/>
              <w:left w:type="dxa" w:w="120"/>
              <w:bottom w:type="dxa" w:w="60"/>
              <w:right w:type="dxa" w:w="120"/>
            </w:tcMar>
          </w:tcPr>
          <w:p>
            <w:r>
              <w:rPr>
                <w:sz w:val="19"/>
                <w:szCs w:val="19"/>
              </w:rPr>
              <w:t xml:space="preserve">$510,000</w:t>
            </w:r>
          </w:p>
        </w:tc>
        <w:tc>
          <w:tcPr>
            <w:tcMar>
              <w:top w:type="dxa" w:w="60"/>
              <w:left w:type="dxa" w:w="120"/>
              <w:bottom w:type="dxa" w:w="60"/>
              <w:right w:type="dxa" w:w="120"/>
            </w:tcMar>
          </w:tcPr>
          <w:p>
            <w:r>
              <w:rPr>
                <w:sz w:val="19"/>
                <w:szCs w:val="19"/>
              </w:rPr>
              <w:t xml:space="preserve">291,750</w:t>
            </w:r>
          </w:p>
        </w:tc>
        <w:tc>
          <w:tcPr>
            <w:tcMar>
              <w:top w:type="dxa" w:w="60"/>
              <w:left w:type="dxa" w:w="120"/>
              <w:bottom w:type="dxa" w:w="60"/>
              <w:right w:type="dxa" w:w="120"/>
            </w:tcMar>
          </w:tcPr>
          <w:p>
            <w:r>
              <w:rPr>
                <w:sz w:val="19"/>
                <w:szCs w:val="19"/>
              </w:rPr>
              <w:t xml:space="preserve">$1.75</w:t>
            </w:r>
          </w:p>
        </w:tc>
      </w:tr>
      <w:tr>
        <w:tc>
          <w:tcPr>
            <w:tcMar>
              <w:top w:type="dxa" w:w="60"/>
              <w:left w:type="dxa" w:w="120"/>
              <w:bottom w:type="dxa" w:w="60"/>
              <w:right w:type="dxa" w:w="120"/>
            </w:tcMar>
          </w:tcPr>
          <w:p>
            <w:r>
              <w:rPr>
                <w:sz w:val="19"/>
                <w:szCs w:val="19"/>
              </w:rPr>
              <w:t xml:space="preserve">Add the options</w:t>
            </w:r>
          </w:p>
        </w:tc>
        <w:tc>
          <w:tcPr>
            <w:tcMar>
              <w:top w:type="dxa" w:w="60"/>
              <w:left w:type="dxa" w:w="120"/>
              <w:bottom w:type="dxa" w:w="60"/>
              <w:right w:type="dxa" w:w="120"/>
            </w:tcMar>
          </w:tcPr>
          <w:p>
            <w:r>
              <w:rPr>
                <w:sz w:val="19"/>
                <w:szCs w:val="19"/>
              </w:rPr>
              <w:t xml:space="preserve">—</w:t>
            </w:r>
          </w:p>
        </w:tc>
        <w:tc>
          <w:tcPr>
            <w:tcMar>
              <w:top w:type="dxa" w:w="60"/>
              <w:left w:type="dxa" w:w="120"/>
              <w:bottom w:type="dxa" w:w="60"/>
              <w:right w:type="dxa" w:w="120"/>
            </w:tcMar>
          </w:tcPr>
          <w:p>
            <w:r>
              <w:rPr>
                <w:sz w:val="19"/>
                <w:szCs w:val="19"/>
              </w:rPr>
              <w:t xml:space="preserve">10,000</w:t>
            </w:r>
          </w:p>
        </w:tc>
        <w:tc>
          <w:tcPr>
            <w:tcMar>
              <w:top w:type="dxa" w:w="60"/>
              <w:left w:type="dxa" w:w="120"/>
              <w:bottom w:type="dxa" w:w="60"/>
              <w:right w:type="dxa" w:w="120"/>
            </w:tcMar>
          </w:tcPr>
          <w:p>
            <w:r>
              <w:rPr>
                <w:sz w:val="19"/>
                <w:szCs w:val="19"/>
              </w:rPr>
              <w:t xml:space="preserve">$1.69</w:t>
            </w:r>
          </w:p>
        </w:tc>
      </w:tr>
      <w:tr>
        <w:tc>
          <w:tcPr>
            <w:tcMar>
              <w:top w:type="dxa" w:w="60"/>
              <w:left w:type="dxa" w:w="120"/>
              <w:bottom w:type="dxa" w:w="60"/>
              <w:right w:type="dxa" w:w="120"/>
            </w:tcMar>
          </w:tcPr>
          <w:p>
            <w:r>
              <w:rPr>
                <w:sz w:val="19"/>
                <w:szCs w:val="19"/>
              </w:rPr>
              <w:t xml:space="preserve">Add the convertible bond</w:t>
            </w:r>
          </w:p>
        </w:tc>
        <w:tc>
          <w:tcPr>
            <w:tcMar>
              <w:top w:type="dxa" w:w="60"/>
              <w:left w:type="dxa" w:w="120"/>
              <w:bottom w:type="dxa" w:w="60"/>
              <w:right w:type="dxa" w:w="120"/>
            </w:tcMar>
          </w:tcPr>
          <w:p>
            <w:r>
              <w:rPr>
                <w:sz w:val="19"/>
                <w:szCs w:val="19"/>
              </w:rPr>
              <w:t xml:space="preserve">$55,209</w:t>
            </w:r>
          </w:p>
        </w:tc>
        <w:tc>
          <w:tcPr>
            <w:tcMar>
              <w:top w:type="dxa" w:w="60"/>
              <w:left w:type="dxa" w:w="120"/>
              <w:bottom w:type="dxa" w:w="60"/>
              <w:right w:type="dxa" w:w="120"/>
            </w:tcMar>
          </w:tcPr>
          <w:p>
            <w:r>
              <w:rPr>
                <w:sz w:val="19"/>
                <w:szCs w:val="19"/>
              </w:rPr>
              <w:t xml:space="preserve">40,000</w:t>
            </w:r>
          </w:p>
        </w:tc>
        <w:tc>
          <w:tcPr>
            <w:tcMar>
              <w:top w:type="dxa" w:w="60"/>
              <w:left w:type="dxa" w:w="120"/>
              <w:bottom w:type="dxa" w:w="60"/>
              <w:right w:type="dxa" w:w="120"/>
            </w:tcMar>
          </w:tcPr>
          <w:p>
            <w:r>
              <w:rPr>
                <w:sz w:val="19"/>
                <w:szCs w:val="19"/>
              </w:rPr>
              <w:t xml:space="preserve">$1.65</w:t>
            </w:r>
          </w:p>
        </w:tc>
      </w:tr>
      <w:tr>
        <w:tc>
          <w:tcPr>
            <w:tcMar>
              <w:top w:type="dxa" w:w="60"/>
              <w:left w:type="dxa" w:w="120"/>
              <w:bottom w:type="dxa" w:w="60"/>
              <w:right w:type="dxa" w:w="120"/>
            </w:tcMar>
          </w:tcPr>
          <w:p>
            <w:r>
              <w:rPr>
                <w:sz w:val="19"/>
                <w:szCs w:val="19"/>
              </w:rPr>
              <w:t xml:space="preserve">Diluted earnings per share</w:t>
            </w:r>
          </w:p>
        </w:tc>
        <w:tc>
          <w:tcPr>
            <w:tcMar>
              <w:top w:type="dxa" w:w="60"/>
              <w:left w:type="dxa" w:w="120"/>
              <w:bottom w:type="dxa" w:w="60"/>
              <w:right w:type="dxa" w:w="120"/>
            </w:tcMar>
          </w:tcPr>
          <w:p>
            <w:r>
              <w:rPr>
                <w:sz w:val="19"/>
                <w:szCs w:val="19"/>
              </w:rPr>
              <w:t xml:space="preserve">$565,209</w:t>
            </w:r>
          </w:p>
        </w:tc>
        <w:tc>
          <w:tcPr>
            <w:tcMar>
              <w:top w:type="dxa" w:w="60"/>
              <w:left w:type="dxa" w:w="120"/>
              <w:bottom w:type="dxa" w:w="60"/>
              <w:right w:type="dxa" w:w="120"/>
            </w:tcMar>
          </w:tcPr>
          <w:p>
            <w:r>
              <w:rPr>
                <w:sz w:val="19"/>
                <w:szCs w:val="19"/>
              </w:rPr>
              <w:t xml:space="preserve">341,750</w:t>
            </w:r>
          </w:p>
        </w:tc>
        <w:tc>
          <w:tcPr>
            <w:tcMar>
              <w:top w:type="dxa" w:w="60"/>
              <w:left w:type="dxa" w:w="120"/>
              <w:bottom w:type="dxa" w:w="60"/>
              <w:right w:type="dxa" w:w="120"/>
            </w:tcMar>
          </w:tcPr>
          <w:p>
            <w:r>
              <w:rPr>
                <w:sz w:val="19"/>
                <w:szCs w:val="19"/>
              </w:rPr>
              <w:t xml:space="preserve">$1.65</w:t>
            </w:r>
          </w:p>
        </w:tc>
      </w:tr>
    </w:tbl>
    <w:p/>
    <w:p>
      <w:pPr>
        <w:spacing w:before="40" w:after="110" w:line="300" w:lineRule="auto"/>
      </w:pPr>
      <w:r>
        <w:rPr>
          <w:b/>
          <w:color w:val="2B6CB0"/>
          <w:sz w:val="13"/>
        </w:rPr>
        <w:t xml:space="preserve">R2  </w:t>
      </w:r>
      <w:r>
        <w:rPr>
          <w:sz w:val="21"/>
          <w:szCs w:val="21"/>
        </w:rPr>
        <w:t xml:space="preserve">The options have an incremental earnings per share of nil, because they add shares and no income at all. Nothing can be more dilutive than that, which is why options always go in first when both kinds of security are present.</w:t>
      </w:r>
    </w:p>
    <w:p>
      <w:pPr>
        <w:spacing w:before="40" w:after="110" w:line="300" w:lineRule="auto"/>
      </w:pPr>
      <w:r>
        <w:rPr>
          <w:b/>
          <w:color w:val="2B6CB0"/>
          <w:sz w:val="13"/>
        </w:rPr>
        <w:t xml:space="preserve">R2  </w:t>
      </w:r>
      <w:r>
        <w:rPr>
          <w:sz w:val="21"/>
          <w:szCs w:val="21"/>
        </w:rPr>
        <w:t xml:space="preserve">The final figure of $1.65 against a basic $1.75 is a fall of $0.09, or about 5.4%. The convertible preferred would have taken it back above the basic figure, and the whole purpose of the incremental test is to notice that before including it.</w:t>
      </w:r>
    </w:p>
    <w:p>
      <w:pPr>
        <w:sectPr>
          <w:headerReference w:type="default" r:id="rIdHdr5"/>
          <w:pgSz w:w="11906" w:h="16838" w:orient="portrait"/>
          <w:pgMar w:top="1180" w:right="1000" w:bottom="900" w:left="1000" w:header="708" w:footer="708" w:gutter="0"/>
          <w:docGrid w:linePitch="360"/>
          <w:pgNumType/>
        </w:sectPr>
      </w:pPr>
    </w:p>
    <w:p>
      <w:pPr>
        <w:spacing w:after="20" w:before="60"/>
      </w:pPr>
      <w:r>
        <w:rPr>
          <w:b/>
          <w:bCs/>
          <w:color w:val="353A7C"/>
          <w:sz w:val="40"/>
          <w:szCs w:val="40"/>
        </w:rPr>
        <w:t xml:space="preserve">Glossary</w:t>
      </w:r>
    </w:p>
    <w:p>
      <w:pPr>
        <w:spacing w:after="8"/>
      </w:pPr>
      <w:r>
        <w:rPr>
          <w:color w:val="23265A"/>
          <w:sz w:val="22"/>
          <w:szCs w:val="22"/>
        </w:rPr>
        <w:t xml:space="preserve">Every term in Volume 15, with the Arabic equivalent and the places it misleads</w:t>
      </w:r>
    </w:p>
    <w:p>
      <w:pPr>
        <w:spacing w:after="130"/>
      </w:pPr>
      <w:r>
        <w:rPr>
          <w:color w:val="6B7280"/>
          <w:sz w:val="20"/>
          <w:szCs w:val="20"/>
        </w:rPr>
        <w:t xml:space="preserve">The third column is for recognition only. In the exam room you work in English.</w:t>
      </w:r>
    </w:p>
    <w:p>
      <w:pPr>
        <w:sectPr>
          <w:pgSz w:w="11906" w:h="16838" w:orient="portrait"/>
          <w:pgMar w:top="1180" w:right="1000" w:bottom="900" w:left="1000" w:header="708" w:footer="708" w:gutter="0"/>
          <w:pgNumType/>
          <w:docGrid w:linePitch="360"/>
        </w:sectPr>
      </w:pP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20"/>
        <w:gridCol w:w="38"/>
        <w:gridCol w:w="16"/>
        <w:gridCol w:w="26"/>
      </w:tblGrid>
      <w:tr>
        <w:tc>
          <w:tcPr>
            <w:shd w:fill="353A7C" w:val="clear"/>
            <w:tcMar>
              <w:top w:type="dxa" w:w="60"/>
              <w:left w:type="dxa" w:w="120"/>
              <w:bottom w:type="dxa" w:w="60"/>
              <w:right w:type="dxa" w:w="120"/>
            </w:tcMar>
          </w:tcPr>
          <w:p>
            <w:r>
              <w:rPr>
                <w:b/>
                <w:bCs/>
                <w:color w:val="FFFFFF"/>
                <w:sz w:val="18"/>
                <w:szCs w:val="18"/>
              </w:rPr>
              <w:t xml:space="preserve">Term</w:t>
            </w:r>
          </w:p>
        </w:tc>
        <w:tc>
          <w:tcPr>
            <w:shd w:fill="353A7C" w:val="clear"/>
            <w:tcMar>
              <w:top w:type="dxa" w:w="60"/>
              <w:left w:type="dxa" w:w="120"/>
              <w:bottom w:type="dxa" w:w="60"/>
              <w:right w:type="dxa" w:w="120"/>
            </w:tcMar>
          </w:tcPr>
          <w:p>
            <w:r>
              <w:rPr>
                <w:b/>
                <w:bCs/>
                <w:color w:val="FFFFFF"/>
                <w:sz w:val="18"/>
                <w:szCs w:val="18"/>
              </w:rPr>
              <w:t xml:space="preserve">What it means in CMA English</w:t>
            </w:r>
          </w:p>
        </w:tc>
        <w:tc>
          <w:tcPr>
            <w:shd w:fill="353A7C" w:val="clear"/>
            <w:tcMar>
              <w:top w:type="dxa" w:w="60"/>
              <w:left w:type="dxa" w:w="120"/>
              <w:bottom w:type="dxa" w:w="60"/>
              <w:right w:type="dxa" w:w="120"/>
            </w:tcMar>
          </w:tcPr>
          <w:p>
            <w:r>
              <w:rPr>
                <w:b/>
                <w:bCs/>
                <w:color w:val="FFFFFF"/>
                <w:sz w:val="18"/>
                <w:szCs w:val="18"/>
              </w:rPr>
              <w:t xml:space="preserve">بالعربية</w:t>
            </w:r>
          </w:p>
        </w:tc>
        <w:tc>
          <w:tcPr>
            <w:shd w:fill="353A7C" w:val="clear"/>
            <w:tcMar>
              <w:top w:type="dxa" w:w="60"/>
              <w:left w:type="dxa" w:w="120"/>
              <w:bottom w:type="dxa" w:w="60"/>
              <w:right w:type="dxa" w:w="120"/>
            </w:tcMar>
          </w:tcPr>
          <w:p>
            <w:r>
              <w:rPr>
                <w:b/>
                <w:bCs/>
                <w:color w:val="FFFFFF"/>
                <w:sz w:val="18"/>
                <w:szCs w:val="18"/>
              </w:rPr>
              <w:t xml:space="preserve">Careful</w:t>
            </w:r>
          </w:p>
        </w:tc>
      </w:tr>
      <w:tr>
        <w:tc>
          <w:tcPr>
            <w:tcMar>
              <w:top w:type="dxa" w:w="55"/>
              <w:left w:type="dxa" w:w="115"/>
              <w:bottom w:type="dxa" w:w="55"/>
              <w:right w:type="dxa" w:w="115"/>
            </w:tcMar>
          </w:tcPr>
          <w:p>
            <w:r>
              <w:rPr>
                <w:b/>
                <w:bCs/>
                <w:sz w:val="18"/>
                <w:szCs w:val="18"/>
              </w:rPr>
              <w:t xml:space="preserve">antidilutive</w:t>
            </w:r>
          </w:p>
        </w:tc>
        <w:tc>
          <w:tcPr>
            <w:tcMar>
              <w:top w:type="dxa" w:w="55"/>
              <w:left w:type="dxa" w:w="115"/>
              <w:bottom w:type="dxa" w:w="55"/>
              <w:right w:type="dxa" w:w="115"/>
            </w:tcMar>
          </w:tcPr>
          <w:p>
            <w:r>
              <w:rPr>
                <w:sz w:val="18"/>
                <w:szCs w:val="18"/>
              </w:rPr>
              <w:t xml:space="preserve">Describing a security whose inclusion would raise earnings per share rather than lower it.</w:t>
            </w:r>
          </w:p>
        </w:tc>
        <w:tc>
          <w:tcPr>
            <w:tcMar>
              <w:top w:type="dxa" w:w="55"/>
              <w:left w:type="dxa" w:w="115"/>
              <w:bottom w:type="dxa" w:w="55"/>
              <w:right w:type="dxa" w:w="115"/>
            </w:tcMar>
          </w:tcPr>
          <w:p>
            <w:pPr>
              <w:bidi/>
              <w:jc w:val="right"/>
            </w:pPr>
            <w:r>
              <w:rPr>
                <w:rFonts w:cs="Arial" w:ascii="Arial" w:hAnsi="Arial"/>
                <w:rtl/>
                <w:bidi/>
                <w:sz w:val="18"/>
                <w:szCs w:val="18"/>
              </w:rPr>
              <w:t xml:space="preserve">مضاد للتخفيف</w:t>
            </w:r>
          </w:p>
        </w:tc>
        <w:tc>
          <w:tcPr>
            <w:tcMar>
              <w:top w:type="dxa" w:w="55"/>
              <w:left w:type="dxa" w:w="115"/>
              <w:bottom w:type="dxa" w:w="55"/>
              <w:right w:type="dxa" w:w="115"/>
            </w:tcMar>
          </w:tcPr>
          <w:p>
            <w:r>
              <w:rPr>
                <w:color w:val="C0483F"/>
                <w:sz w:val="17"/>
                <w:szCs w:val="17"/>
              </w:rPr>
              <w:t xml:space="preserve">Excluded from the diluted figure and disclosed, so a reader knows it exists.</w:t>
            </w:r>
          </w:p>
        </w:tc>
      </w:tr>
      <w:tr>
        <w:tc>
          <w:tcPr>
            <w:tcMar>
              <w:top w:type="dxa" w:w="55"/>
              <w:left w:type="dxa" w:w="115"/>
              <w:bottom w:type="dxa" w:w="55"/>
              <w:right w:type="dxa" w:w="115"/>
            </w:tcMar>
          </w:tcPr>
          <w:p>
            <w:r>
              <w:rPr>
                <w:b/>
                <w:bCs/>
                <w:sz w:val="18"/>
                <w:szCs w:val="18"/>
              </w:rPr>
              <w:t xml:space="preserve">basic earnings per share</w:t>
            </w:r>
          </w:p>
        </w:tc>
        <w:tc>
          <w:tcPr>
            <w:tcMar>
              <w:top w:type="dxa" w:w="55"/>
              <w:left w:type="dxa" w:w="115"/>
              <w:bottom w:type="dxa" w:w="55"/>
              <w:right w:type="dxa" w:w="115"/>
            </w:tcMar>
          </w:tcPr>
          <w:p>
            <w:r>
              <w:rPr>
                <w:sz w:val="18"/>
                <w:szCs w:val="18"/>
              </w:rPr>
              <w:t xml:space="preserve">Income available to common shareholders divided by the weighted average shares outstanding.</w:t>
            </w:r>
          </w:p>
        </w:tc>
        <w:tc>
          <w:tcPr>
            <w:tcMar>
              <w:top w:type="dxa" w:w="55"/>
              <w:left w:type="dxa" w:w="115"/>
              <w:bottom w:type="dxa" w:w="55"/>
              <w:right w:type="dxa" w:w="115"/>
            </w:tcMar>
          </w:tcPr>
          <w:p>
            <w:pPr>
              <w:bidi/>
              <w:jc w:val="right"/>
            </w:pPr>
            <w:r>
              <w:rPr>
                <w:rFonts w:cs="Arial" w:ascii="Arial" w:hAnsi="Arial"/>
                <w:rtl/>
                <w:bidi/>
                <w:sz w:val="18"/>
                <w:szCs w:val="18"/>
              </w:rPr>
              <w:t xml:space="preserve">ربحية السهم الأساسية</w:t>
            </w:r>
          </w:p>
        </w:tc>
        <w:tc>
          <w:tcPr>
            <w:tcMar>
              <w:top w:type="dxa" w:w="55"/>
              <w:left w:type="dxa" w:w="115"/>
              <w:bottom w:type="dxa" w:w="55"/>
              <w:right w:type="dxa" w:w="115"/>
            </w:tcMar>
          </w:tcPr>
          <w:p>
            <w:r>
              <w:rPr>
                <w:color w:val="C0483F"/>
                <w:sz w:val="17"/>
                <w:szCs w:val="17"/>
              </w:rPr>
              <w:t xml:space="preserve">Two figures, and the denominator is where almost every error happens.</w:t>
            </w:r>
          </w:p>
        </w:tc>
      </w:tr>
      <w:tr>
        <w:tc>
          <w:tcPr>
            <w:tcMar>
              <w:top w:type="dxa" w:w="55"/>
              <w:left w:type="dxa" w:w="115"/>
              <w:bottom w:type="dxa" w:w="55"/>
              <w:right w:type="dxa" w:w="115"/>
            </w:tcMar>
          </w:tcPr>
          <w:p>
            <w:r>
              <w:rPr>
                <w:b/>
                <w:bCs/>
                <w:sz w:val="18"/>
                <w:szCs w:val="18"/>
              </w:rPr>
              <w:t xml:space="preserve">complex capital structure</w:t>
            </w:r>
          </w:p>
        </w:tc>
        <w:tc>
          <w:tcPr>
            <w:tcMar>
              <w:top w:type="dxa" w:w="55"/>
              <w:left w:type="dxa" w:w="115"/>
              <w:bottom w:type="dxa" w:w="55"/>
              <w:right w:type="dxa" w:w="115"/>
            </w:tcMar>
          </w:tcPr>
          <w:p>
            <w:r>
              <w:rPr>
                <w:sz w:val="18"/>
                <w:szCs w:val="18"/>
              </w:rPr>
              <w:t xml:space="preserve">A capital structure containing securities that could become common shares.</w:t>
            </w:r>
          </w:p>
        </w:tc>
        <w:tc>
          <w:tcPr>
            <w:tcMar>
              <w:top w:type="dxa" w:w="55"/>
              <w:left w:type="dxa" w:w="115"/>
              <w:bottom w:type="dxa" w:w="55"/>
              <w:right w:type="dxa" w:w="115"/>
            </w:tcMar>
          </w:tcPr>
          <w:p>
            <w:pPr>
              <w:bidi/>
              <w:jc w:val="right"/>
            </w:pPr>
            <w:r>
              <w:rPr>
                <w:rFonts w:cs="Arial" w:ascii="Arial" w:hAnsi="Arial"/>
                <w:rtl/>
                <w:bidi/>
                <w:sz w:val="18"/>
                <w:szCs w:val="18"/>
              </w:rPr>
              <w:t xml:space="preserve">هيكل رأس مال معقد</w:t>
            </w:r>
          </w:p>
        </w:tc>
        <w:tc>
          <w:tcPr>
            <w:tcMar>
              <w:top w:type="dxa" w:w="55"/>
              <w:left w:type="dxa" w:w="115"/>
              <w:bottom w:type="dxa" w:w="55"/>
              <w:right w:type="dxa" w:w="115"/>
            </w:tcMar>
          </w:tcPr>
          <w:p>
            <w:r>
              <w:rPr>
                <w:color w:val="C0483F"/>
                <w:sz w:val="17"/>
                <w:szCs w:val="17"/>
              </w:rPr>
              <w:t xml:space="preserve">A company with one must report both basic and diluted figures. Northwind’s options make it one.</w:t>
            </w:r>
          </w:p>
        </w:tc>
      </w:tr>
      <w:tr>
        <w:tc>
          <w:tcPr>
            <w:tcMar>
              <w:top w:type="dxa" w:w="55"/>
              <w:left w:type="dxa" w:w="115"/>
              <w:bottom w:type="dxa" w:w="55"/>
              <w:right w:type="dxa" w:w="115"/>
            </w:tcMar>
          </w:tcPr>
          <w:p>
            <w:r>
              <w:rPr>
                <w:b/>
                <w:bCs/>
                <w:sz w:val="18"/>
                <w:szCs w:val="18"/>
              </w:rPr>
              <w:t xml:space="preserve">diluted earnings per share</w:t>
            </w:r>
          </w:p>
        </w:tc>
        <w:tc>
          <w:tcPr>
            <w:tcMar>
              <w:top w:type="dxa" w:w="55"/>
              <w:left w:type="dxa" w:w="115"/>
              <w:bottom w:type="dxa" w:w="55"/>
              <w:right w:type="dxa" w:w="115"/>
            </w:tcMar>
          </w:tcPr>
          <w:p>
            <w:r>
              <w:rPr>
                <w:sz w:val="18"/>
                <w:szCs w:val="18"/>
              </w:rPr>
              <w:t xml:space="preserve">Earnings per share computed as though every dilutive potential common share had been issued.</w:t>
            </w:r>
          </w:p>
        </w:tc>
        <w:tc>
          <w:tcPr>
            <w:tcMar>
              <w:top w:type="dxa" w:w="55"/>
              <w:left w:type="dxa" w:w="115"/>
              <w:bottom w:type="dxa" w:w="55"/>
              <w:right w:type="dxa" w:w="115"/>
            </w:tcMar>
          </w:tcPr>
          <w:p>
            <w:pPr>
              <w:bidi/>
              <w:jc w:val="right"/>
            </w:pPr>
            <w:r>
              <w:rPr>
                <w:rFonts w:cs="Arial" w:ascii="Arial" w:hAnsi="Arial"/>
                <w:rtl/>
                <w:bidi/>
                <w:sz w:val="18"/>
                <w:szCs w:val="18"/>
              </w:rPr>
              <w:t xml:space="preserve">ربحية السهم المخففة</w:t>
            </w:r>
          </w:p>
        </w:tc>
        <w:tc>
          <w:tcPr>
            <w:tcMar>
              <w:top w:type="dxa" w:w="55"/>
              <w:left w:type="dxa" w:w="115"/>
              <w:bottom w:type="dxa" w:w="55"/>
              <w:right w:type="dxa" w:w="115"/>
            </w:tcMar>
          </w:tcPr>
          <w:p>
            <w:r>
              <w:rPr>
                <w:color w:val="C0483F"/>
                <w:sz w:val="17"/>
                <w:szCs w:val="17"/>
              </w:rPr>
              <w:t xml:space="preserve">A worst case, not a forecast. It answers what the figure would have been had the holders all exercised.</w:t>
            </w:r>
          </w:p>
        </w:tc>
      </w:tr>
      <w:tr>
        <w:tc>
          <w:tcPr>
            <w:tcMar>
              <w:top w:type="dxa" w:w="55"/>
              <w:left w:type="dxa" w:w="115"/>
              <w:bottom w:type="dxa" w:w="55"/>
              <w:right w:type="dxa" w:w="115"/>
            </w:tcMar>
          </w:tcPr>
          <w:p>
            <w:r>
              <w:rPr>
                <w:b/>
                <w:bCs/>
                <w:sz w:val="18"/>
                <w:szCs w:val="18"/>
              </w:rPr>
              <w:t xml:space="preserve">if-converted method</w:t>
            </w:r>
          </w:p>
        </w:tc>
        <w:tc>
          <w:tcPr>
            <w:tcMar>
              <w:top w:type="dxa" w:w="55"/>
              <w:left w:type="dxa" w:w="115"/>
              <w:bottom w:type="dxa" w:w="55"/>
              <w:right w:type="dxa" w:w="115"/>
            </w:tcMar>
          </w:tcPr>
          <w:p>
            <w:r>
              <w:rPr>
                <w:sz w:val="18"/>
                <w:szCs w:val="18"/>
              </w:rPr>
              <w:t xml:space="preserve">The method for convertible securities: assume conversion at the start of the period, add the shares, and reverse the interest or dividend that would not have been paid.</w:t>
            </w:r>
          </w:p>
        </w:tc>
        <w:tc>
          <w:tcPr>
            <w:tcMar>
              <w:top w:type="dxa" w:w="55"/>
              <w:left w:type="dxa" w:w="115"/>
              <w:bottom w:type="dxa" w:w="55"/>
              <w:right w:type="dxa" w:w="115"/>
            </w:tcMar>
          </w:tcPr>
          <w:p>
            <w:pPr>
              <w:bidi/>
              <w:jc w:val="right"/>
            </w:pPr>
            <w:r>
              <w:rPr>
                <w:rFonts w:cs="Arial" w:ascii="Arial" w:hAnsi="Arial"/>
                <w:rtl/>
                <w:bidi/>
                <w:sz w:val="18"/>
                <w:szCs w:val="18"/>
              </w:rPr>
              <w:t xml:space="preserve">طريقة الافتراض بالتحويل</w:t>
            </w:r>
          </w:p>
        </w:tc>
        <w:tc>
          <w:tcPr>
            <w:tcMar>
              <w:top w:type="dxa" w:w="55"/>
              <w:left w:type="dxa" w:w="115"/>
              <w:bottom w:type="dxa" w:w="55"/>
              <w:right w:type="dxa" w:w="115"/>
            </w:tcMar>
          </w:tcPr>
          <w:p>
            <w:r>
              <w:rPr>
                <w:color w:val="C0483F"/>
                <w:sz w:val="17"/>
                <w:szCs w:val="17"/>
              </w:rPr>
              <w:t xml:space="preserve">Both halves of the fraction move, which is what distinguishes it from the treasury stock method.</w:t>
            </w:r>
          </w:p>
        </w:tc>
      </w:tr>
      <w:tr>
        <w:tc>
          <w:tcPr>
            <w:tcMar>
              <w:top w:type="dxa" w:w="55"/>
              <w:left w:type="dxa" w:w="115"/>
              <w:bottom w:type="dxa" w:w="55"/>
              <w:right w:type="dxa" w:w="115"/>
            </w:tcMar>
          </w:tcPr>
          <w:p>
            <w:r>
              <w:rPr>
                <w:b/>
                <w:bCs/>
                <w:sz w:val="18"/>
                <w:szCs w:val="18"/>
              </w:rPr>
              <w:t xml:space="preserve">in the money</w:t>
            </w:r>
          </w:p>
        </w:tc>
        <w:tc>
          <w:tcPr>
            <w:tcMar>
              <w:top w:type="dxa" w:w="55"/>
              <w:left w:type="dxa" w:w="115"/>
              <w:bottom w:type="dxa" w:w="55"/>
              <w:right w:type="dxa" w:w="115"/>
            </w:tcMar>
          </w:tcPr>
          <w:p>
            <w:r>
              <w:rPr>
                <w:sz w:val="18"/>
                <w:szCs w:val="18"/>
              </w:rPr>
              <w:t xml:space="preserve">Describing an option whose exercise price is below the market price of the share.</w:t>
            </w:r>
          </w:p>
        </w:tc>
        <w:tc>
          <w:tcPr>
            <w:tcMar>
              <w:top w:type="dxa" w:w="55"/>
              <w:left w:type="dxa" w:w="115"/>
              <w:bottom w:type="dxa" w:w="55"/>
              <w:right w:type="dxa" w:w="115"/>
            </w:tcMar>
          </w:tcPr>
          <w:p>
            <w:pPr>
              <w:bidi/>
              <w:jc w:val="right"/>
            </w:pPr>
            <w:r>
              <w:rPr>
                <w:rFonts w:cs="Arial" w:ascii="Arial" w:hAnsi="Arial"/>
                <w:rtl/>
                <w:bidi/>
                <w:sz w:val="18"/>
                <w:szCs w:val="18"/>
              </w:rPr>
              <w:t xml:space="preserve">في النقد</w:t>
            </w:r>
          </w:p>
        </w:tc>
        <w:tc>
          <w:tcPr>
            <w:tcMar>
              <w:top w:type="dxa" w:w="55"/>
              <w:left w:type="dxa" w:w="115"/>
              <w:bottom w:type="dxa" w:w="55"/>
              <w:right w:type="dxa" w:w="115"/>
            </w:tcMar>
          </w:tcPr>
          <w:p>
            <w:r>
              <w:rPr>
                <w:color w:val="C0483F"/>
                <w:sz w:val="17"/>
                <w:szCs w:val="17"/>
              </w:rPr>
              <w:t xml:space="preserve">Only options in the money are dilutive. The test uses the average price for the period, not the price at the year end.</w:t>
            </w:r>
          </w:p>
        </w:tc>
      </w:tr>
      <w:tr>
        <w:tc>
          <w:tcPr>
            <w:tcMar>
              <w:top w:type="dxa" w:w="55"/>
              <w:left w:type="dxa" w:w="115"/>
              <w:bottom w:type="dxa" w:w="55"/>
              <w:right w:type="dxa" w:w="115"/>
            </w:tcMar>
          </w:tcPr>
          <w:p>
            <w:r>
              <w:rPr>
                <w:b/>
                <w:bCs/>
                <w:sz w:val="18"/>
                <w:szCs w:val="18"/>
              </w:rPr>
              <w:t xml:space="preserve">income available to common shareholders</w:t>
            </w:r>
          </w:p>
        </w:tc>
        <w:tc>
          <w:tcPr>
            <w:tcMar>
              <w:top w:type="dxa" w:w="55"/>
              <w:left w:type="dxa" w:w="115"/>
              <w:bottom w:type="dxa" w:w="55"/>
              <w:right w:type="dxa" w:w="115"/>
            </w:tcMar>
          </w:tcPr>
          <w:p>
            <w:r>
              <w:rPr>
                <w:sz w:val="18"/>
                <w:szCs w:val="18"/>
              </w:rPr>
              <w:t xml:space="preserve">Net income less the dividends on preferred stock for the period.</w:t>
            </w:r>
          </w:p>
        </w:tc>
        <w:tc>
          <w:tcPr>
            <w:tcMar>
              <w:top w:type="dxa" w:w="55"/>
              <w:left w:type="dxa" w:w="115"/>
              <w:bottom w:type="dxa" w:w="55"/>
              <w:right w:type="dxa" w:w="115"/>
            </w:tcMar>
          </w:tcPr>
          <w:p>
            <w:pPr>
              <w:bidi/>
              <w:jc w:val="right"/>
            </w:pPr>
            <w:r>
              <w:rPr>
                <w:rFonts w:cs="Arial" w:ascii="Arial" w:hAnsi="Arial"/>
                <w:rtl/>
                <w:bidi/>
                <w:sz w:val="18"/>
                <w:szCs w:val="18"/>
              </w:rPr>
              <w:t xml:space="preserve">الدخل المتاح لحملة الأسهم العادية</w:t>
            </w:r>
          </w:p>
        </w:tc>
        <w:tc>
          <w:tcPr>
            <w:tcMar>
              <w:top w:type="dxa" w:w="55"/>
              <w:left w:type="dxa" w:w="115"/>
              <w:bottom w:type="dxa" w:w="55"/>
              <w:right w:type="dxa" w:w="115"/>
            </w:tcMar>
          </w:tcPr>
          <w:p>
            <w:r>
              <w:rPr>
                <w:color w:val="C0483F"/>
                <w:sz w:val="17"/>
                <w:szCs w:val="17"/>
              </w:rPr>
              <w:t xml:space="preserve">The numerator. Preferred dividends are deducted whether or not they were declared, if the preferred stock is cumulative.</w:t>
            </w:r>
          </w:p>
        </w:tc>
      </w:tr>
      <w:tr>
        <w:tc>
          <w:tcPr>
            <w:tcMar>
              <w:top w:type="dxa" w:w="55"/>
              <w:left w:type="dxa" w:w="115"/>
              <w:bottom w:type="dxa" w:w="55"/>
              <w:right w:type="dxa" w:w="115"/>
            </w:tcMar>
          </w:tcPr>
          <w:p>
            <w:r>
              <w:rPr>
                <w:b/>
                <w:bCs/>
                <w:sz w:val="18"/>
                <w:szCs w:val="18"/>
              </w:rPr>
              <w:t xml:space="preserve">incremental earnings per share</w:t>
            </w:r>
          </w:p>
        </w:tc>
        <w:tc>
          <w:tcPr>
            <w:tcMar>
              <w:top w:type="dxa" w:w="55"/>
              <w:left w:type="dxa" w:w="115"/>
              <w:bottom w:type="dxa" w:w="55"/>
              <w:right w:type="dxa" w:w="115"/>
            </w:tcMar>
          </w:tcPr>
          <w:p>
            <w:r>
              <w:rPr>
                <w:sz w:val="18"/>
                <w:szCs w:val="18"/>
              </w:rPr>
              <w:t xml:space="preserve">The effect a single security would have, computed as its numerator adjustment divided by the shares it would add.</w:t>
            </w:r>
          </w:p>
        </w:tc>
        <w:tc>
          <w:tcPr>
            <w:tcMar>
              <w:top w:type="dxa" w:w="55"/>
              <w:left w:type="dxa" w:w="115"/>
              <w:bottom w:type="dxa" w:w="55"/>
              <w:right w:type="dxa" w:w="115"/>
            </w:tcMar>
          </w:tcPr>
          <w:p>
            <w:pPr>
              <w:bidi/>
              <w:jc w:val="right"/>
            </w:pPr>
            <w:r>
              <w:rPr>
                <w:rFonts w:cs="Arial" w:ascii="Arial" w:hAnsi="Arial"/>
                <w:rtl/>
                <w:bidi/>
                <w:sz w:val="18"/>
                <w:szCs w:val="18"/>
              </w:rPr>
              <w:t xml:space="preserve">ربحية السهم الإضافية</w:t>
            </w:r>
          </w:p>
        </w:tc>
        <w:tc>
          <w:tcPr>
            <w:tcMar>
              <w:top w:type="dxa" w:w="55"/>
              <w:left w:type="dxa" w:w="115"/>
              <w:bottom w:type="dxa" w:w="55"/>
              <w:right w:type="dxa" w:w="115"/>
            </w:tcMar>
          </w:tcPr>
          <w:p>
            <w:r>
              <w:rPr>
                <w:color w:val="C0483F"/>
                <w:sz w:val="17"/>
                <w:szCs w:val="17"/>
              </w:rPr>
              <w:t xml:space="preserve">The test for dilution and the order of inclusion, both at once. Below basic is dilutive; above it is not.</w:t>
            </w:r>
          </w:p>
        </w:tc>
      </w:tr>
      <w:tr>
        <w:tc>
          <w:tcPr>
            <w:tcMar>
              <w:top w:type="dxa" w:w="55"/>
              <w:left w:type="dxa" w:w="115"/>
              <w:bottom w:type="dxa" w:w="55"/>
              <w:right w:type="dxa" w:w="115"/>
            </w:tcMar>
          </w:tcPr>
          <w:p>
            <w:r>
              <w:rPr>
                <w:b/>
                <w:bCs/>
                <w:sz w:val="18"/>
                <w:szCs w:val="18"/>
              </w:rPr>
              <w:t xml:space="preserve">potential common share</w:t>
            </w:r>
          </w:p>
        </w:tc>
        <w:tc>
          <w:tcPr>
            <w:tcMar>
              <w:top w:type="dxa" w:w="55"/>
              <w:left w:type="dxa" w:w="115"/>
              <w:bottom w:type="dxa" w:w="55"/>
              <w:right w:type="dxa" w:w="115"/>
            </w:tcMar>
          </w:tcPr>
          <w:p>
            <w:r>
              <w:rPr>
                <w:sz w:val="18"/>
                <w:szCs w:val="18"/>
              </w:rPr>
              <w:t xml:space="preserve">A security or contract that may entitle its holder to common shares.</w:t>
            </w:r>
          </w:p>
        </w:tc>
        <w:tc>
          <w:tcPr>
            <w:tcMar>
              <w:top w:type="dxa" w:w="55"/>
              <w:left w:type="dxa" w:w="115"/>
              <w:bottom w:type="dxa" w:w="55"/>
              <w:right w:type="dxa" w:w="115"/>
            </w:tcMar>
          </w:tcPr>
          <w:p>
            <w:pPr>
              <w:bidi/>
              <w:jc w:val="right"/>
            </w:pPr>
            <w:r>
              <w:rPr>
                <w:rFonts w:cs="Arial" w:ascii="Arial" w:hAnsi="Arial"/>
                <w:rtl/>
                <w:bidi/>
                <w:sz w:val="18"/>
                <w:szCs w:val="18"/>
              </w:rPr>
              <w:t xml:space="preserve">سهم عادي محتمل</w:t>
            </w:r>
          </w:p>
        </w:tc>
        <w:tc>
          <w:tcPr>
            <w:tcMar>
              <w:top w:type="dxa" w:w="55"/>
              <w:left w:type="dxa" w:w="115"/>
              <w:bottom w:type="dxa" w:w="55"/>
              <w:right w:type="dxa" w:w="115"/>
            </w:tcMar>
          </w:tcPr>
          <w:p>
            <w:r>
              <w:rPr>
                <w:color w:val="C0483F"/>
                <w:sz w:val="17"/>
                <w:szCs w:val="17"/>
              </w:rPr>
              <w:t xml:space="preserve">Options, warrants, convertible bonds and convertible preferred stock are the four the exam uses.</w:t>
            </w:r>
          </w:p>
        </w:tc>
      </w:tr>
      <w:tr>
        <w:tc>
          <w:tcPr>
            <w:tcMar>
              <w:top w:type="dxa" w:w="55"/>
              <w:left w:type="dxa" w:w="115"/>
              <w:bottom w:type="dxa" w:w="55"/>
              <w:right w:type="dxa" w:w="115"/>
            </w:tcMar>
          </w:tcPr>
          <w:p>
            <w:r>
              <w:rPr>
                <w:b/>
                <w:bCs/>
                <w:sz w:val="18"/>
                <w:szCs w:val="18"/>
              </w:rPr>
              <w:t xml:space="preserve">retroactive restatement</w:t>
            </w:r>
          </w:p>
        </w:tc>
        <w:tc>
          <w:tcPr>
            <w:tcMar>
              <w:top w:type="dxa" w:w="55"/>
              <w:left w:type="dxa" w:w="115"/>
              <w:bottom w:type="dxa" w:w="55"/>
              <w:right w:type="dxa" w:w="115"/>
            </w:tcMar>
          </w:tcPr>
          <w:p>
            <w:r>
              <w:rPr>
                <w:sz w:val="18"/>
                <w:szCs w:val="18"/>
              </w:rPr>
              <w:t xml:space="preserve">Applying a share change to every period presented as though it had always been in force.</w:t>
            </w:r>
          </w:p>
        </w:tc>
        <w:tc>
          <w:tcPr>
            <w:tcMar>
              <w:top w:type="dxa" w:w="55"/>
              <w:left w:type="dxa" w:w="115"/>
              <w:bottom w:type="dxa" w:w="55"/>
              <w:right w:type="dxa" w:w="115"/>
            </w:tcMar>
          </w:tcPr>
          <w:p>
            <w:pPr>
              <w:bidi/>
              <w:jc w:val="right"/>
            </w:pPr>
            <w:r>
              <w:rPr>
                <w:rFonts w:cs="Arial" w:ascii="Arial" w:hAnsi="Arial"/>
                <w:rtl/>
                <w:bidi/>
                <w:sz w:val="18"/>
                <w:szCs w:val="18"/>
              </w:rPr>
              <w:t xml:space="preserve">إعادة العرض بأثر رجعي</w:t>
            </w:r>
          </w:p>
        </w:tc>
        <w:tc>
          <w:tcPr>
            <w:tcMar>
              <w:top w:type="dxa" w:w="55"/>
              <w:left w:type="dxa" w:w="115"/>
              <w:bottom w:type="dxa" w:w="55"/>
              <w:right w:type="dxa" w:w="115"/>
            </w:tcMar>
          </w:tcPr>
          <w:p>
            <w:r>
              <w:rPr>
                <w:color w:val="C0483F"/>
                <w:sz w:val="17"/>
                <w:szCs w:val="17"/>
              </w:rPr>
              <w:t xml:space="preserve">Used for stock dividends and splits, which give no new resources to the company and must not break comparability.</w:t>
            </w:r>
          </w:p>
        </w:tc>
      </w:tr>
      <w:tr>
        <w:tc>
          <w:tcPr>
            <w:tcMar>
              <w:top w:type="dxa" w:w="55"/>
              <w:left w:type="dxa" w:w="115"/>
              <w:bottom w:type="dxa" w:w="55"/>
              <w:right w:type="dxa" w:w="115"/>
            </w:tcMar>
          </w:tcPr>
          <w:p>
            <w:r>
              <w:rPr>
                <w:b/>
                <w:bCs/>
                <w:sz w:val="18"/>
                <w:szCs w:val="18"/>
              </w:rPr>
              <w:t xml:space="preserve">simple capital structure</w:t>
            </w:r>
          </w:p>
        </w:tc>
        <w:tc>
          <w:tcPr>
            <w:tcMar>
              <w:top w:type="dxa" w:w="55"/>
              <w:left w:type="dxa" w:w="115"/>
              <w:bottom w:type="dxa" w:w="55"/>
              <w:right w:type="dxa" w:w="115"/>
            </w:tcMar>
          </w:tcPr>
          <w:p>
            <w:r>
              <w:rPr>
                <w:sz w:val="18"/>
                <w:szCs w:val="18"/>
              </w:rPr>
              <w:t xml:space="preserve">A capital structure with no securities that could convert into common shares.</w:t>
            </w:r>
          </w:p>
        </w:tc>
        <w:tc>
          <w:tcPr>
            <w:tcMar>
              <w:top w:type="dxa" w:w="55"/>
              <w:left w:type="dxa" w:w="115"/>
              <w:bottom w:type="dxa" w:w="55"/>
              <w:right w:type="dxa" w:w="115"/>
            </w:tcMar>
          </w:tcPr>
          <w:p>
            <w:pPr>
              <w:bidi/>
              <w:jc w:val="right"/>
            </w:pPr>
            <w:r>
              <w:rPr>
                <w:rFonts w:cs="Arial" w:ascii="Arial" w:hAnsi="Arial"/>
                <w:rtl/>
                <w:bidi/>
                <w:sz w:val="18"/>
                <w:szCs w:val="18"/>
              </w:rPr>
              <w:t xml:space="preserve">هيكل رأس مال بسيط</w:t>
            </w:r>
          </w:p>
        </w:tc>
        <w:tc>
          <w:tcPr>
            <w:tcMar>
              <w:top w:type="dxa" w:w="55"/>
              <w:left w:type="dxa" w:w="115"/>
              <w:bottom w:type="dxa" w:w="55"/>
              <w:right w:type="dxa" w:w="115"/>
            </w:tcMar>
          </w:tcPr>
          <w:p>
            <w:r>
              <w:rPr>
                <w:color w:val="C0483F"/>
                <w:sz w:val="17"/>
                <w:szCs w:val="17"/>
              </w:rPr>
              <w:t xml:space="preserve">A company with one reports basic earnings per share alone. Handouts 2 and 3 are about the other kind.</w:t>
            </w:r>
          </w:p>
        </w:tc>
      </w:tr>
      <w:tr>
        <w:tc>
          <w:tcPr>
            <w:tcMar>
              <w:top w:type="dxa" w:w="55"/>
              <w:left w:type="dxa" w:w="115"/>
              <w:bottom w:type="dxa" w:w="55"/>
              <w:right w:type="dxa" w:w="115"/>
            </w:tcMar>
          </w:tcPr>
          <w:p>
            <w:r>
              <w:rPr>
                <w:b/>
                <w:bCs/>
                <w:sz w:val="18"/>
                <w:szCs w:val="18"/>
              </w:rPr>
              <w:t xml:space="preserve">treasury stock method</w:t>
            </w:r>
          </w:p>
        </w:tc>
        <w:tc>
          <w:tcPr>
            <w:tcMar>
              <w:top w:type="dxa" w:w="55"/>
              <w:left w:type="dxa" w:w="115"/>
              <w:bottom w:type="dxa" w:w="55"/>
              <w:right w:type="dxa" w:w="115"/>
            </w:tcMar>
          </w:tcPr>
          <w:p>
            <w:r>
              <w:rPr>
                <w:sz w:val="18"/>
                <w:szCs w:val="18"/>
              </w:rPr>
              <w:t xml:space="preserve">The method for options and warrants: assume exercise, and assume the proceeds buy back shares at the average market price.</w:t>
            </w:r>
          </w:p>
        </w:tc>
        <w:tc>
          <w:tcPr>
            <w:tcMar>
              <w:top w:type="dxa" w:w="55"/>
              <w:left w:type="dxa" w:w="115"/>
              <w:bottom w:type="dxa" w:w="55"/>
              <w:right w:type="dxa" w:w="115"/>
            </w:tcMar>
          </w:tcPr>
          <w:p>
            <w:pPr>
              <w:bidi/>
              <w:jc w:val="right"/>
            </w:pPr>
            <w:r>
              <w:rPr>
                <w:rFonts w:cs="Arial" w:ascii="Arial" w:hAnsi="Arial"/>
                <w:rtl/>
                <w:bidi/>
                <w:sz w:val="18"/>
                <w:szCs w:val="18"/>
              </w:rPr>
              <w:t xml:space="preserve">طريقة أسهم الخزينة</w:t>
            </w:r>
          </w:p>
        </w:tc>
        <w:tc>
          <w:tcPr>
            <w:tcMar>
              <w:top w:type="dxa" w:w="55"/>
              <w:left w:type="dxa" w:w="115"/>
              <w:bottom w:type="dxa" w:w="55"/>
              <w:right w:type="dxa" w:w="115"/>
            </w:tcMar>
          </w:tcPr>
          <w:p>
            <w:r>
              <w:rPr>
                <w:color w:val="C0483F"/>
                <w:sz w:val="17"/>
                <w:szCs w:val="17"/>
              </w:rPr>
              <w:t xml:space="preserve">The repurchase is an assumption, not an event. No company actually does it.</w:t>
            </w:r>
          </w:p>
        </w:tc>
      </w:tr>
      <w:tr>
        <w:tc>
          <w:tcPr>
            <w:tcMar>
              <w:top w:type="dxa" w:w="55"/>
              <w:left w:type="dxa" w:w="115"/>
              <w:bottom w:type="dxa" w:w="55"/>
              <w:right w:type="dxa" w:w="115"/>
            </w:tcMar>
          </w:tcPr>
          <w:p>
            <w:r>
              <w:rPr>
                <w:b/>
                <w:bCs/>
                <w:sz w:val="18"/>
                <w:szCs w:val="18"/>
              </w:rPr>
              <w:t xml:space="preserve">weighted average shares outstanding</w:t>
            </w:r>
          </w:p>
        </w:tc>
        <w:tc>
          <w:tcPr>
            <w:tcMar>
              <w:top w:type="dxa" w:w="55"/>
              <w:left w:type="dxa" w:w="115"/>
              <w:bottom w:type="dxa" w:w="55"/>
              <w:right w:type="dxa" w:w="115"/>
            </w:tcMar>
          </w:tcPr>
          <w:p>
            <w:r>
              <w:rPr>
                <w:sz w:val="18"/>
                <w:szCs w:val="18"/>
              </w:rPr>
              <w:t xml:space="preserve">The share count averaged across the period, each change weighted by the part of the year it was in force.</w:t>
            </w:r>
          </w:p>
        </w:tc>
        <w:tc>
          <w:tcPr>
            <w:tcMar>
              <w:top w:type="dxa" w:w="55"/>
              <w:left w:type="dxa" w:w="115"/>
              <w:bottom w:type="dxa" w:w="55"/>
              <w:right w:type="dxa" w:w="115"/>
            </w:tcMar>
          </w:tcPr>
          <w:p>
            <w:pPr>
              <w:bidi/>
              <w:jc w:val="right"/>
            </w:pPr>
            <w:r>
              <w:rPr>
                <w:rFonts w:cs="Arial" w:ascii="Arial" w:hAnsi="Arial"/>
                <w:rtl/>
                <w:bidi/>
                <w:sz w:val="18"/>
                <w:szCs w:val="18"/>
              </w:rPr>
              <w:t xml:space="preserve">المتوسط المرجح للأسهم القائمة</w:t>
            </w:r>
          </w:p>
        </w:tc>
        <w:tc>
          <w:tcPr>
            <w:tcMar>
              <w:top w:type="dxa" w:w="55"/>
              <w:left w:type="dxa" w:w="115"/>
              <w:bottom w:type="dxa" w:w="55"/>
              <w:right w:type="dxa" w:w="115"/>
            </w:tcMar>
          </w:tcPr>
          <w:p>
            <w:r>
              <w:rPr>
                <w:color w:val="C0483F"/>
                <w:sz w:val="17"/>
                <w:szCs w:val="17"/>
              </w:rPr>
              <w:t xml:space="preserve">Not the opening count and not the closing count. A share issued on 1 October counts for a quarter of a share.</w:t>
            </w:r>
          </w:p>
        </w:tc>
      </w:tr>
    </w:tbl>
    <w:p/>
    <w:p>
      <w:pPr>
        <w:sectPr>
          <w:headerReference w:type="default" r:id="rIdHdr6"/>
          <w:pgSz w:w="11906" w:h="16838" w:orient="portrait"/>
          <w:pgMar w:top="1180" w:right="1000" w:bottom="900" w:left="1000" w:header="708" w:footer="708" w:gutter="0"/>
          <w:docGrid w:linePitch="360"/>
          <w:pgNumType w:start="1"/>
        </w:sectPr>
      </w:pPr>
    </w:p>
    <w:sectPr>
      <w:headerReference w:type="default" r:id="rIdHdr6"/>
      <w:pgSz w:w="11906" w:h="16838" w:orient="portrait"/>
      <w:pgMar w:top="1180" w:right="1000" w:bottom="900" w:left="1000" w:header="708" w:footer="708" w:gutter="0"/>
      <w:docGrid w:linePitch="360"/>
      <w:pgNumTyp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Volume 15 · how to use these handouts</w:t>
          </w:r>
        </w:p>
      </w:tc>
      <w:tc>
        <w:tcPr>
          <w:tcW w:type="pct" w:w="1400"/>
          <w:tcMar>
            <w:top w:type="dxa" w:w="-30"/>
            <w:left w:type="dxa" w:w="30"/>
            <w:bottom w:type="dxa" w:w="-30"/>
            <w:right w:type="dxa" w:w="30"/>
          </w:tcMar>
        </w:tcPr>
        <w:p>
          <w:pPr>
            <w:jc w:val="right"/>
          </w:pPr>
          <w:r>
            <w:rPr>
              <w:color w:val="6B7280"/>
              <w:sz w:val="16"/>
              <w:szCs w:val="16"/>
            </w:rPr>
            <w:t xml:space="preserve">Earnings Per Share — Page </w:t>
          </w:r>
          <w:fldSimple w:instr=" PAGE ">
            <w:r>
              <w:rPr>
                <w:b/>
                <w:bCs/>
                <w:color w:val="23265A"/>
                <w:sz w:val="16"/>
                <w:szCs w:val="16"/>
              </w:rPr>
              <w:t xml:space="preserve">1</w:t>
            </w:r>
          </w:fldSimple>
        </w:p>
      </w:tc>
    </w:tr>
  </w:tbl>
  <w:p>
    <w:pPr>
      <w:spacing w:after="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 · Basic EPS and the Weighted Average Share Count</w:t>
          </w:r>
        </w:p>
      </w:tc>
      <w:tc>
        <w:tcPr>
          <w:tcW w:type="pct" w:w="1400"/>
          <w:tcMar>
            <w:top w:type="dxa" w:w="-30"/>
            <w:left w:type="dxa" w:w="30"/>
            <w:bottom w:type="dxa" w:w="-30"/>
            <w:right w:type="dxa" w:w="30"/>
          </w:tcMar>
        </w:tcPr>
        <w:p>
          <w:pPr>
            <w:jc w:val="right"/>
          </w:pPr>
          <w:r>
            <w:rPr>
              <w:color w:val="6B7280"/>
              <w:sz w:val="16"/>
              <w:szCs w:val="16"/>
            </w:rPr>
            <w:t xml:space="preserve">Handout 1 — Page </w:t>
          </w:r>
          <w:fldSimple w:instr=" PAGE ">
            <w:r>
              <w:rPr>
                <w:b/>
                <w:bCs/>
                <w:color w:val="23265A"/>
                <w:sz w:val="16"/>
                <w:szCs w:val="16"/>
              </w:rPr>
              <w:t xml:space="preserve">1</w:t>
            </w:r>
          </w:fldSimple>
        </w:p>
      </w:tc>
    </w:tr>
  </w:tbl>
  <w:p>
    <w:pPr>
      <w:spacing w:after="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2 · Dilution: Options, Warrants and the Treasury Stock Method</w:t>
          </w:r>
        </w:p>
      </w:tc>
      <w:tc>
        <w:tcPr>
          <w:tcW w:type="pct" w:w="1400"/>
          <w:tcMar>
            <w:top w:type="dxa" w:w="-30"/>
            <w:left w:type="dxa" w:w="30"/>
            <w:bottom w:type="dxa" w:w="-30"/>
            <w:right w:type="dxa" w:w="30"/>
          </w:tcMar>
        </w:tcPr>
        <w:p>
          <w:pPr>
            <w:jc w:val="right"/>
          </w:pPr>
          <w:r>
            <w:rPr>
              <w:color w:val="6B7280"/>
              <w:sz w:val="16"/>
              <w:szCs w:val="16"/>
            </w:rPr>
            <w:t xml:space="preserve">Handout 2 — Page </w:t>
          </w:r>
          <w:fldSimple w:instr=" PAGE ">
            <w:r>
              <w:rPr>
                <w:b/>
                <w:bCs/>
                <w:color w:val="23265A"/>
                <w:sz w:val="16"/>
                <w:szCs w:val="16"/>
              </w:rPr>
              <w:t xml:space="preserve">1</w:t>
            </w:r>
          </w:fldSimple>
        </w:p>
      </w:tc>
    </w:tr>
  </w:tbl>
  <w:p>
    <w:pPr>
      <w:spacing w:after="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3 · Convertibles, the If-Converted Method, and Antidilution</w:t>
          </w:r>
        </w:p>
      </w:tc>
      <w:tc>
        <w:tcPr>
          <w:tcW w:type="pct" w:w="1400"/>
          <w:tcMar>
            <w:top w:type="dxa" w:w="-30"/>
            <w:left w:type="dxa" w:w="30"/>
            <w:bottom w:type="dxa" w:w="-30"/>
            <w:right w:type="dxa" w:w="30"/>
          </w:tcMar>
        </w:tcPr>
        <w:p>
          <w:pPr>
            <w:jc w:val="right"/>
          </w:pPr>
          <w:r>
            <w:rPr>
              <w:color w:val="6B7280"/>
              <w:sz w:val="16"/>
              <w:szCs w:val="16"/>
            </w:rPr>
            <w:t xml:space="preserve">Handout 3 — Page </w:t>
          </w:r>
          <w:fldSimple w:instr=" PAGE ">
            <w:r>
              <w:rPr>
                <w:b/>
                <w:bCs/>
                <w:color w:val="23265A"/>
                <w:sz w:val="16"/>
                <w:szCs w:val="16"/>
              </w:rPr>
              <w:t xml:space="preserve">1</w:t>
            </w:r>
          </w:fldSimple>
        </w:p>
      </w:tc>
    </w:tr>
  </w:tbl>
  <w:p>
    <w:pPr>
      <w:spacing w:after="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Handouts 1 to 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p>
      </w:tc>
    </w:tr>
  </w:tbl>
  <w:p>
    <w:pPr>
      <w:spacing w:after="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Glossary · Volume 15</w:t>
          </w:r>
        </w:p>
      </w:tc>
      <w:tc>
        <w:tcPr>
          <w:tcW w:type="pct" w:w="1400"/>
          <w:tcMar>
            <w:top w:type="dxa" w:w="-30"/>
            <w:left w:type="dxa" w:w="30"/>
            <w:bottom w:type="dxa" w:w="-30"/>
            <w:right w:type="dxa" w:w="30"/>
          </w:tcMar>
        </w:tcPr>
        <w:p>
          <w:pPr>
            <w:jc w:val="right"/>
          </w:pPr>
          <w:r>
            <w:rPr>
              <w:color w:val="6B7280"/>
              <w:sz w:val="16"/>
              <w:szCs w:val="16"/>
            </w:rPr>
            <w:t xml:space="preserve">Glossary — Page </w:t>
          </w:r>
          <w:fldSimple w:instr=" PAGE ">
            <w:r>
              <w:rPr>
                <w:b/>
                <w:bCs/>
                <w:color w:val="23265A"/>
                <w:sz w:val="16"/>
                <w:szCs w:val="16"/>
              </w:rPr>
              <w:t xml:space="preserve">1</w:t>
            </w:r>
          </w:fldSimple>
        </w:p>
      </w:tc>
    </w:tr>
  </w:tbl>
  <w:p>
    <w:pP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defaultTabStop w:val="720"/>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Relationships xmlns="http://schemas.openxmlformats.org/package/2006/relationships"><Relationship Id="rIdstyles" Target="styles.xml" Type="http://schemas.openxmlformats.org/officeDocument/2006/relationships/styles"/><Relationship Id="rIdnumbering" Target="numbering.xml" Type="http://schemas.openxmlformats.org/officeDocument/2006/relationships/numbering"/><Relationship Id="rIdfontTable" Target="fontTable.xml" Type="http://schemas.openxmlformats.org/officeDocument/2006/relationships/fontTable"/><Relationship Id="rIdsettings" Target="settings.xml" Type="http://schemas.openxmlformats.org/officeDocument/2006/relationships/settings"/><Relationship Id="rId101" Target="media/aee5bcce091dcb97cd3bb940271a3f1415912f95.png" Type="http://schemas.openxmlformats.org/officeDocument/2006/relationships/image"/><Relationship Id="rId102" Target="media/f3725e14c906d9515cc119cda524ecb2f7bd777c.png" Type="http://schemas.openxmlformats.org/officeDocument/2006/relationships/image"/><Relationship Id="rId103" Target="media/b954941e7830af916409f0f671b3efdbc57a61ed.png" Type="http://schemas.openxmlformats.org/officeDocument/2006/relationships/image"/><Relationship Id="rId104" Target="media/f527bdd285f15e12d98a0fe4a7e1a9222e3a34de.png" Type="http://schemas.openxmlformats.org/officeDocument/2006/relationships/image"/><Relationship Id="rId105" Target="media/a039f569caac55d1db3a72317a4f028e92989eb2.png" Type="http://schemas.openxmlformats.org/officeDocument/2006/relationships/image"/><Relationship Id="rId106" Target="media/fbc64a0a97a4136a20faf66d0a60557a24c2b4df.png" Type="http://schemas.openxmlformats.org/officeDocument/2006/relationships/image"/><Relationship Id="rId107" Target="media/9654b81fc7f5a00ccf9176da505c876ae7309875.png" Type="http://schemas.openxmlformats.org/officeDocument/2006/relationships/image"/><Relationship Id="rId108" Target="media/3694aa1006b5ff4202d8461db67a3a955950a20b.png" Type="http://schemas.openxmlformats.org/officeDocument/2006/relationships/image"/><Relationship Id="rId109" Target="media/85db1b76f3d6770b5093624ed35ce4059545a44f.png" Type="http://schemas.openxmlformats.org/officeDocument/2006/relationships/image"/><Relationship Id="rId110" Target="media/cd46fb9dbba4d221340deac81fedd0076f758266.png" Type="http://schemas.openxmlformats.org/officeDocument/2006/relationships/image"/><Relationship Id="rId111" Target="media/d89f49d73133f1bfad28493c600b61055270a488.png" Type="http://schemas.openxmlformats.org/officeDocument/2006/relationships/image"/><Relationship Id="rId112" Target="media/a047ff3e59d472b4345c5a8167f429aa68cbcc4c.png" Type="http://schemas.openxmlformats.org/officeDocument/2006/relationships/image"/><Relationship Id="rId113" Target="media/bc36f92e7a46e0e4fa71d874eed2615b1a1fe373.png" Type="http://schemas.openxmlformats.org/officeDocument/2006/relationships/image"/><Relationship Id="rId114" Target="media/d659ebc016077b262ca0a87609847b0553adc8ea.png" Type="http://schemas.openxmlformats.org/officeDocument/2006/relationships/image"/><Relationship Id="rId115" Target="media/2489d304c39d95a1286da7f9c423c2bcb4c07245.png" Type="http://schemas.openxmlformats.org/officeDocument/2006/relationships/image"/><Relationship Id="rId116" Target="media/29a90edf3c5220ceb824c231abe1e1204e5c5e75.png" Type="http://schemas.openxmlformats.org/officeDocument/2006/relationships/image"/><Relationship Id="rId117" Target="media/4218ed13616e2021bf3bb12cd8bec634a2cfb317.png" Type="http://schemas.openxmlformats.org/officeDocument/2006/relationships/image"/><Relationship Id="rId118" Target="media/8594f641106034176472e27f0a1a5b09f285e28d.png" Type="http://schemas.openxmlformats.org/officeDocument/2006/relationships/image"/><Relationship Id="rId119" Target="media/4b6b0f7ec0dd8a2ba06f14c85b3f17d2a6b30ce3.png" Type="http://schemas.openxmlformats.org/officeDocument/2006/relationships/image"/><Relationship Id="rIdHdr1" Target="header1.xml" Type="http://schemas.openxmlformats.org/officeDocument/2006/relationships/header"/><Relationship Id="rIdHdr2" Target="header2.xml" Type="http://schemas.openxmlformats.org/officeDocument/2006/relationships/header"/><Relationship Id="rIdHdr3" Target="header3.xml" Type="http://schemas.openxmlformats.org/officeDocument/2006/relationships/header"/><Relationship Id="rIdHdr4" Target="header4.xml" Type="http://schemas.openxmlformats.org/officeDocument/2006/relationships/header"/><Relationship Id="rIdHdr5" Target="header5.xml" Type="http://schemas.openxmlformats.org/officeDocument/2006/relationships/header"/><Relationship Id="rIdHdr6" Target="header6.xml" Type="http://schemas.openxmlformats.org/officeDocument/2006/relationships/header"/></Relationships>
</file>

<file path=docProps/core.xml><?xml version="1.0" encoding="utf-8"?>
<cp:coreProperties xmlns:cp="http://schemas.openxmlformats.org/package/2006/metadata/core-properties" xmlns:dc="http://purl.org/dc/elements/1.1/" xmlns:dcterms="http://purl.org/dc/terms/" xmlns:xsi="http://www.w3.org/2001/XMLSchema-instance">
  <dc:title>CMA Part 1 · Volume 15 · Earnings Per Share</dc:title>
  <dc:subject>Interactive handouts with answer key</dc:subject>
  <cp:category>Student Book</cp:category>
</cp:coreProperties>
</file>