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statement of changes in equity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faithful representation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asset</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financial statements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statements   ·   conceptual framework   ·   disclose</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48–50</w:t>
      </w:r>
    </w:p>
    <w:p>
      <w:pPr>
        <w:spacing w:before="20" w:after="20" w:line="360" w:lineRule="auto"/>
        <w:ind w:left="200"/>
      </w:pPr>
      <w:r>
        <w:rPr>
          <w:sz w:val="19"/>
          <w:szCs w:val="19"/>
        </w:rPr>
        <w:t xml:space="preserve">Example: Orontes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faithful representation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retained earnings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accounting equation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equity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relevance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T-account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accounts receivable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25"/>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credit   ·   bottling   ·   Jan 31   ·   Borrowed   ·   Equipment   ·   Sales revenue   ·   Accounts receivable   ·   Cash   ·   conceptual framework</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accumulated depreciation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accumulated depreciation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cash basis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prepaid expense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recognize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income statement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contract liability (unearned revenue)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double-entry system</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Asset   ·   income statement   ·   Expense   ·   Contra-asset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57ce06ec0a3d3fa0a63ec270f4db34365fb83302.png" Type="http://schemas.openxmlformats.org/officeDocument/2006/relationships/image"/><Relationship Id="rId103" Target="media/a383e14f6b4cd2c8f0907987c167e72378b7e526.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ccdf0c19e79b272aea9ec10854a594c2e1328a0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