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39"/>
            <w:tcMar>
              <w:top w:type="dxa" w:w="50"/>
              <w:left w:type="dxa" w:w="110"/>
              <w:bottom w:type="dxa" w:w="50"/>
              <w:right w:type="dxa" w:w="110"/>
            </w:tcMar>
          </w:tcPr>
          <w:p>
            <w:pPr>
              <w:spacing w:before="28" w:after="28"/>
            </w:pPr>
            <w:r>
              <w:rPr>
                <w:sz w:val="15"/>
                <w:szCs w:val="15"/>
              </w:rPr>
              <w:t xml:space="preserve">ASSETS</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Cash</w:t>
            </w:r>
          </w:p>
        </w:tc>
        <w:tc>
          <w:tcPr>
            <w:tcW w:type="pct" w:w="1381"/>
            <w:tcMar>
              <w:top w:type="dxa" w:w="50"/>
              <w:left w:type="dxa" w:w="110"/>
              <w:bottom w:type="dxa" w:w="50"/>
              <w:right w:type="dxa" w:w="110"/>
            </w:tcMar>
          </w:tcPr>
          <w:p>
            <w:pPr>
              <w:spacing w:before="28" w:after="28"/>
            </w:pPr>
            <w:r>
              <w:rPr>
                <w:sz w:val="15"/>
                <w:szCs w:val="15"/>
              </w:rPr>
              <w:t xml:space="preserve">7,302,100</w:t>
            </w:r>
          </w:p>
        </w:tc>
        <w:tc>
          <w:tcPr>
            <w:tcW w:type="pct" w:w="1381"/>
            <w:tcMar>
              <w:top w:type="dxa" w:w="50"/>
              <w:left w:type="dxa" w:w="110"/>
              <w:bottom w:type="dxa" w:w="50"/>
              <w:right w:type="dxa" w:w="110"/>
            </w:tcMar>
          </w:tcPr>
          <w:p>
            <w:pPr>
              <w:spacing w:before="28" w:after="28"/>
            </w:pPr>
            <w:r>
              <w:rPr>
                <w:sz w:val="15"/>
                <w:szCs w:val="15"/>
              </w:rPr>
              <w:t xml:space="preserve">2,100,000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42,000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39"/>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381"/>
            <w:tcMar>
              <w:top w:type="dxa" w:w="50"/>
              <w:left w:type="dxa" w:w="110"/>
              <w:bottom w:type="dxa" w:w="50"/>
              <w:right w:type="dxa" w:w="110"/>
            </w:tcMar>
          </w:tcPr>
          <w:p>
            <w:pPr>
              <w:spacing w:before="28" w:after="28"/>
            </w:pPr>
            <w:r>
              <w:rPr>
                <w:sz w:val="15"/>
                <w:szCs w:val="15"/>
              </w:rPr>
              <w:t xml:space="preserve">4,144,000</w:t>
            </w:r>
          </w:p>
        </w:tc>
        <w:tc>
          <w:tcPr>
            <w:tcW w:type="pct" w:w="1381"/>
            <w:tcMar>
              <w:top w:type="dxa" w:w="50"/>
              <w:left w:type="dxa" w:w="110"/>
              <w:bottom w:type="dxa" w:w="50"/>
              <w:right w:type="dxa" w:w="110"/>
            </w:tcMar>
          </w:tcPr>
          <w:p>
            <w:pPr>
              <w:spacing w:before="28" w:after="28"/>
            </w:pPr>
            <w:r>
              <w:rPr>
                <w:sz w:val="15"/>
                <w:szCs w:val="15"/>
              </w:rPr>
              <w:t xml:space="preserve">3,760,000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Inventory</w:t>
            </w:r>
          </w:p>
        </w:tc>
        <w:tc>
          <w:tcPr>
            <w:tcW w:type="pct" w:w="1381"/>
            <w:shd w:fill="FBFAF6" w:val="clear"/>
            <w:tcMar>
              <w:top w:type="dxa" w:w="50"/>
              <w:left w:type="dxa" w:w="110"/>
              <w:bottom w:type="dxa" w:w="50"/>
              <w:right w:type="dxa" w:w="110"/>
            </w:tcMar>
          </w:tcPr>
          <w:p>
            <w:pPr>
              <w:spacing w:before="28" w:after="28"/>
            </w:pPr>
            <w:r>
              <w:rPr>
                <w:sz w:val="15"/>
                <w:szCs w:val="15"/>
              </w:rPr>
              <w:t xml:space="preserve">2,450,000</w:t>
            </w:r>
          </w:p>
        </w:tc>
        <w:tc>
          <w:tcPr>
            <w:tcW w:type="pct" w:w="1381"/>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tcMar>
              <w:top w:type="dxa" w:w="50"/>
              <w:left w:type="dxa" w:w="110"/>
              <w:bottom w:type="dxa" w:w="50"/>
              <w:right w:type="dxa" w:w="110"/>
            </w:tcMar>
          </w:tcPr>
          <w:p>
            <w:pPr>
              <w:spacing w:before="28" w:after="28"/>
            </w:pPr>
            <w:r>
              <w:rPr>
                <w:sz w:val="15"/>
                <w:szCs w:val="15"/>
              </w:rPr>
              <w:t xml:space="preserve">204,000</w:t>
            </w:r>
          </w:p>
        </w:tc>
        <w:tc>
          <w:tcPr>
            <w:tcW w:type="pct" w:w="1381"/>
            <w:tcMar>
              <w:top w:type="dxa" w:w="50"/>
              <w:left w:type="dxa" w:w="110"/>
              <w:bottom w:type="dxa" w:w="50"/>
              <w:right w:type="dxa" w:w="110"/>
            </w:tcMar>
          </w:tcPr>
          <w:p>
            <w:pPr>
              <w:spacing w:before="28" w:after="28"/>
            </w:pPr>
            <w:r>
              <w:rPr>
                <w:sz w:val="15"/>
                <w:szCs w:val="15"/>
              </w:rPr>
              <w:t xml:space="preserve">180,000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381"/>
            <w:shd w:fill="FBFAF6" w:val="clear"/>
            <w:tcMar>
              <w:top w:type="dxa" w:w="50"/>
              <w:left w:type="dxa" w:w="110"/>
              <w:bottom w:type="dxa" w:w="50"/>
              <w:right w:type="dxa" w:w="110"/>
            </w:tcMar>
          </w:tcPr>
          <w:p>
            <w:pPr>
              <w:spacing w:before="28" w:after="28"/>
            </w:pPr>
            <w:r>
              <w:rPr>
                <w:sz w:val="15"/>
                <w:szCs w:val="15"/>
              </w:rPr>
              <w:t xml:space="preserve">46,000</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current assets</w:t>
            </w:r>
          </w:p>
        </w:tc>
        <w:tc>
          <w:tcPr>
            <w:tcW w:type="pct" w:w="1381"/>
            <w:tcMar>
              <w:top w:type="dxa" w:w="50"/>
              <w:left w:type="dxa" w:w="110"/>
              <w:bottom w:type="dxa" w:w="50"/>
              <w:right w:type="dxa" w:w="110"/>
            </w:tcMar>
          </w:tcPr>
          <w:p>
            <w:pPr>
              <w:spacing w:before="28" w:after="28"/>
            </w:pPr>
            <w:r>
              <w:rPr>
                <w:sz w:val="15"/>
                <w:szCs w:val="15"/>
              </w:rPr>
              <w:t xml:space="preserve">14,188,100</w:t>
            </w:r>
          </w:p>
        </w:tc>
        <w:tc>
          <w:tcPr>
            <w:tcW w:type="pct" w:w="1381"/>
            <w:tcMar>
              <w:top w:type="dxa" w:w="50"/>
              <w:left w:type="dxa" w:w="110"/>
              <w:bottom w:type="dxa" w:w="50"/>
              <w:right w:type="dxa" w:w="110"/>
            </w:tcMar>
          </w:tcPr>
          <w:p>
            <w:pPr>
              <w:spacing w:before="28" w:after="28"/>
            </w:pPr>
            <w:r>
              <w:rPr>
                <w:sz w:val="15"/>
                <w:szCs w:val="15"/>
              </w:rPr>
              <w:t xml:space="preserve">8,380,000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381"/>
            <w:tcMar>
              <w:top w:type="dxa" w:w="50"/>
              <w:left w:type="dxa" w:w="110"/>
              <w:bottom w:type="dxa" w:w="50"/>
              <w:right w:type="dxa" w:w="110"/>
            </w:tcMar>
          </w:tcPr>
          <w:p>
            <w:pPr>
              <w:spacing w:before="28" w:after="28"/>
            </w:pPr>
            <w:r>
              <w:rPr>
                <w:sz w:val="15"/>
                <w:szCs w:val="15"/>
              </w:rPr>
              <w:t xml:space="preserve">88,500</w:t>
            </w:r>
          </w:p>
        </w:tc>
        <w:tc>
          <w:tcPr>
            <w:tcW w:type="pct" w:w="1381"/>
            <w:tcMar>
              <w:top w:type="dxa" w:w="50"/>
              <w:left w:type="dxa" w:w="110"/>
              <w:bottom w:type="dxa" w:w="50"/>
              <w:right w:type="dxa" w:w="110"/>
            </w:tcMar>
          </w:tcPr>
          <w:p>
            <w:pPr>
              <w:spacing w:before="28" w:after="28"/>
            </w:pPr>
            <w:r>
              <w:rPr>
                <w:sz w:val="15"/>
                <w:szCs w:val="15"/>
              </w:rPr>
              <w:t xml:space="preserve">90,000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27,000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39"/>
            <w:tcMar>
              <w:top w:type="dxa" w:w="50"/>
              <w:left w:type="dxa" w:w="110"/>
              <w:bottom w:type="dxa" w:w="50"/>
              <w:right w:type="dxa" w:w="110"/>
            </w:tcMar>
          </w:tcPr>
          <w:p>
            <w:pPr>
              <w:spacing w:before="28" w:after="28"/>
            </w:pPr>
            <w:r>
              <w:rPr>
                <w:sz w:val="15"/>
                <w:szCs w:val="15"/>
              </w:rPr>
              <w:t xml:space="preserve">Equity-method investments</w:t>
            </w:r>
          </w:p>
        </w:tc>
        <w:tc>
          <w:tcPr>
            <w:tcW w:type="pct" w:w="1381"/>
            <w:tcMar>
              <w:top w:type="dxa" w:w="50"/>
              <w:left w:type="dxa" w:w="110"/>
              <w:bottom w:type="dxa" w:w="50"/>
              <w:right w:type="dxa" w:w="110"/>
            </w:tcMar>
          </w:tcPr>
          <w:p>
            <w:pPr>
              <w:spacing w:before="28" w:after="28"/>
            </w:pPr>
            <w:r>
              <w:rPr>
                <w:sz w:val="15"/>
                <w:szCs w:val="15"/>
              </w:rPr>
              <w:t xml:space="preserve">1,807,000</w:t>
            </w:r>
          </w:p>
        </w:tc>
        <w:tc>
          <w:tcPr>
            <w:tcW w:type="pct" w:w="1381"/>
            <w:tcMar>
              <w:top w:type="dxa" w:w="50"/>
              <w:left w:type="dxa" w:w="110"/>
              <w:bottom w:type="dxa" w:w="50"/>
              <w:right w:type="dxa" w:w="110"/>
            </w:tcMar>
          </w:tcPr>
          <w:p>
            <w:pPr>
              <w:spacing w:before="28" w:after="28"/>
            </w:pPr>
            <w:r>
              <w:rPr>
                <w:sz w:val="15"/>
                <w:szCs w:val="15"/>
              </w:rPr>
              <w:t xml:space="preserve">500,000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381"/>
            <w:shd w:fill="FBFAF6" w:val="clear"/>
            <w:tcMar>
              <w:top w:type="dxa" w:w="50"/>
              <w:left w:type="dxa" w:w="110"/>
              <w:bottom w:type="dxa" w:w="50"/>
              <w:right w:type="dxa" w:w="110"/>
            </w:tcMar>
          </w:tcPr>
          <w:p>
            <w:pPr>
              <w:spacing w:before="28" w:after="28"/>
            </w:pPr>
            <w:r>
              <w:rPr>
                <w:sz w:val="15"/>
                <w:szCs w:val="15"/>
              </w:rPr>
              <w:t xml:space="preserve">14,802,000</w:t>
            </w:r>
          </w:p>
        </w:tc>
        <w:tc>
          <w:tcPr>
            <w:tcW w:type="pct" w:w="1381"/>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81"/>
            <w:tcMar>
              <w:top w:type="dxa" w:w="50"/>
              <w:left w:type="dxa" w:w="110"/>
              <w:bottom w:type="dxa" w:w="50"/>
              <w:right w:type="dxa" w:w="110"/>
            </w:tcMar>
          </w:tcPr>
          <w:p>
            <w:pPr>
              <w:spacing w:before="28" w:after="28"/>
            </w:pPr>
            <w:r>
              <w:rPr>
                <w:sz w:val="15"/>
                <w:szCs w:val="15"/>
              </w:rPr>
              <w:t xml:space="preserve">260,000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Goodwill</w:t>
            </w:r>
          </w:p>
        </w:tc>
        <w:tc>
          <w:tcPr>
            <w:tcW w:type="pct" w:w="1381"/>
            <w:shd w:fill="FBFAF6" w:val="clear"/>
            <w:tcMar>
              <w:top w:type="dxa" w:w="50"/>
              <w:left w:type="dxa" w:w="110"/>
              <w:bottom w:type="dxa" w:w="50"/>
              <w:right w:type="dxa" w:w="110"/>
            </w:tcMar>
          </w:tcPr>
          <w:p>
            <w:pPr>
              <w:spacing w:before="28" w:after="28"/>
            </w:pPr>
            <w:r>
              <w:rPr>
                <w:sz w:val="15"/>
                <w:szCs w:val="15"/>
              </w:rPr>
              <w:t xml:space="preserve">300,000</w:t>
            </w:r>
          </w:p>
        </w:tc>
        <w:tc>
          <w:tcPr>
            <w:tcW w:type="pct" w:w="1381"/>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39"/>
            <w:tcMar>
              <w:top w:type="dxa" w:w="50"/>
              <w:left w:type="dxa" w:w="110"/>
              <w:bottom w:type="dxa" w:w="50"/>
              <w:right w:type="dxa" w:w="110"/>
            </w:tcMar>
          </w:tcPr>
          <w:p>
            <w:pPr>
              <w:spacing w:before="28" w:after="28"/>
            </w:pPr>
            <w:r>
              <w:rPr>
                <w:sz w:val="15"/>
                <w:szCs w:val="15"/>
              </w:rPr>
              <w:t xml:space="preserve">Other noncurrent assets</w:t>
            </w:r>
          </w:p>
        </w:tc>
        <w:tc>
          <w:tcPr>
            <w:tcW w:type="pct" w:w="1381"/>
            <w:tcMar>
              <w:top w:type="dxa" w:w="50"/>
              <w:left w:type="dxa" w:w="110"/>
              <w:bottom w:type="dxa" w:w="50"/>
              <w:right w:type="dxa" w:w="110"/>
            </w:tcMar>
          </w:tcPr>
          <w:p>
            <w:pPr>
              <w:spacing w:before="28" w:after="28"/>
            </w:pPr>
            <w:r>
              <w:rPr>
                <w:sz w:val="15"/>
                <w:szCs w:val="15"/>
              </w:rPr>
              <w:t xml:space="preserve">200,000</w:t>
            </w:r>
          </w:p>
        </w:tc>
        <w:tc>
          <w:tcPr>
            <w:tcW w:type="pct" w:w="1381"/>
            <w:tcMar>
              <w:top w:type="dxa" w:w="50"/>
              <w:left w:type="dxa" w:w="110"/>
              <w:bottom w:type="dxa" w:w="50"/>
              <w:right w:type="dxa" w:w="110"/>
            </w:tcMar>
          </w:tcPr>
          <w:p>
            <w:pPr>
              <w:spacing w:before="28" w:after="28"/>
            </w:pPr>
            <w:r>
              <w:rPr>
                <w:sz w:val="15"/>
                <w:szCs w:val="15"/>
              </w:rPr>
              <w:t xml:space="preserve">200,000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39"/>
            <w:tcMar>
              <w:top w:type="dxa" w:w="50"/>
              <w:left w:type="dxa" w:w="110"/>
              <w:bottom w:type="dxa" w:w="50"/>
              <w:right w:type="dxa" w:w="110"/>
            </w:tcMar>
          </w:tcPr>
          <w:p>
            <w:pPr>
              <w:spacing w:before="28" w:after="28"/>
            </w:pPr>
            <w:r>
              <w:rPr>
                <w:sz w:val="15"/>
                <w:szCs w:val="15"/>
              </w:rPr>
              <w:t xml:space="preserve">LIABILITIES AND STOCKHOLDERS' EQUITY</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1"/>
            <w:tcMar>
              <w:top w:type="dxa" w:w="50"/>
              <w:left w:type="dxa" w:w="110"/>
              <w:bottom w:type="dxa" w:w="50"/>
              <w:right w:type="dxa" w:w="110"/>
            </w:tcMar>
          </w:tcPr>
          <w:p>
            <w:pPr>
              <w:spacing w:before="28" w:after="28"/>
            </w:pPr>
            <w:r>
              <w:rPr>
                <w:sz w:val="15"/>
                <w:szCs w:val="15"/>
              </w:rPr>
              <w:t xml:space="preserve">2,050,000</w:t>
            </w:r>
          </w:p>
        </w:tc>
        <w:tc>
          <w:tcPr>
            <w:tcW w:type="pct" w:w="1381"/>
            <w:tcMar>
              <w:top w:type="dxa" w:w="50"/>
              <w:left w:type="dxa" w:w="110"/>
              <w:bottom w:type="dxa" w:w="50"/>
              <w:right w:type="dxa" w:w="110"/>
            </w:tcMar>
          </w:tcPr>
          <w:p>
            <w:pPr>
              <w:spacing w:before="28" w:after="28"/>
            </w:pPr>
            <w:r>
              <w:rPr>
                <w:sz w:val="15"/>
                <w:szCs w:val="15"/>
              </w:rPr>
              <w:t xml:space="preserve">1,900,000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900,000</w:t>
            </w:r>
          </w:p>
        </w:tc>
        <w:tc>
          <w:tcPr>
            <w:tcW w:type="pct" w:w="1381"/>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39"/>
            <w:tcMar>
              <w:top w:type="dxa" w:w="50"/>
              <w:left w:type="dxa" w:w="110"/>
              <w:bottom w:type="dxa" w:w="50"/>
              <w:right w:type="dxa" w:w="110"/>
            </w:tcMar>
          </w:tcPr>
          <w:p>
            <w:pPr>
              <w:spacing w:before="28" w:after="28"/>
            </w:pPr>
            <w:r>
              <w:rPr>
                <w:sz w:val="15"/>
                <w:szCs w:val="15"/>
              </w:rPr>
              <w:t xml:space="preserve">Income taxes payable</w:t>
            </w:r>
          </w:p>
        </w:tc>
        <w:tc>
          <w:tcPr>
            <w:tcW w:type="pct" w:w="1381"/>
            <w:tcMar>
              <w:top w:type="dxa" w:w="50"/>
              <w:left w:type="dxa" w:w="110"/>
              <w:bottom w:type="dxa" w:w="50"/>
              <w:right w:type="dxa" w:w="110"/>
            </w:tcMar>
          </w:tcPr>
          <w:p>
            <w:pPr>
              <w:spacing w:before="28" w:after="28"/>
            </w:pPr>
            <w:r>
              <w:rPr>
                <w:sz w:val="15"/>
                <w:szCs w:val="15"/>
              </w:rPr>
              <w:t xml:space="preserve">350,000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180,000</w:t>
            </w:r>
          </w:p>
        </w:tc>
        <w:tc>
          <w:tcPr>
            <w:tcW w:type="pct" w:w="1381"/>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39"/>
            <w:tcMar>
              <w:top w:type="dxa" w:w="50"/>
              <w:left w:type="dxa" w:w="110"/>
              <w:bottom w:type="dxa" w:w="50"/>
              <w:right w:type="dxa" w:w="110"/>
            </w:tcMar>
          </w:tcPr>
          <w:p>
            <w:pPr>
              <w:spacing w:before="28" w:after="28"/>
            </w:pPr>
            <w:r>
              <w:rPr>
                <w:sz w:val="15"/>
                <w:szCs w:val="15"/>
              </w:rPr>
              <w:t xml:space="preserve">Dividends payable</w:t>
            </w:r>
          </w:p>
        </w:tc>
        <w:tc>
          <w:tcPr>
            <w:tcW w:type="pct" w:w="1381"/>
            <w:tcMar>
              <w:top w:type="dxa" w:w="50"/>
              <w:left w:type="dxa" w:w="110"/>
              <w:bottom w:type="dxa" w:w="50"/>
              <w:right w:type="dxa" w:w="110"/>
            </w:tcMar>
          </w:tcPr>
          <w:p>
            <w:pPr>
              <w:spacing w:before="28" w:after="28"/>
            </w:pPr>
            <w:r>
              <w:rPr>
                <w:sz w:val="15"/>
                <w:szCs w:val="15"/>
              </w:rPr>
              <w:t xml:space="preserve">400,000</w:t>
            </w:r>
          </w:p>
        </w:tc>
        <w:tc>
          <w:tcPr>
            <w:tcW w:type="pct" w:w="1381"/>
            <w:tcMar>
              <w:top w:type="dxa" w:w="50"/>
              <w:left w:type="dxa" w:w="110"/>
              <w:bottom w:type="dxa" w:w="50"/>
              <w:right w:type="dxa" w:w="110"/>
            </w:tcMar>
          </w:tcPr>
          <w:p>
            <w:pPr>
              <w:spacing w:before="28" w:after="28"/>
            </w:pPr>
            <w:r>
              <w:rPr>
                <w:sz w:val="15"/>
                <w:szCs w:val="15"/>
              </w:rPr>
              <w:t xml:space="preserve">—</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39"/>
            <w:tcMar>
              <w:top w:type="dxa" w:w="50"/>
              <w:left w:type="dxa" w:w="110"/>
              <w:bottom w:type="dxa" w:w="50"/>
              <w:right w:type="dxa" w:w="110"/>
            </w:tcMar>
          </w:tcPr>
          <w:p>
            <w:pPr>
              <w:spacing w:before="28" w:after="28"/>
            </w:pPr>
            <w:r>
              <w:rPr>
                <w:sz w:val="15"/>
                <w:szCs w:val="15"/>
              </w:rPr>
              <w:t xml:space="preserve">Total current liabilities</w:t>
            </w:r>
          </w:p>
        </w:tc>
        <w:tc>
          <w:tcPr>
            <w:tcW w:type="pct" w:w="1381"/>
            <w:tcMar>
              <w:top w:type="dxa" w:w="50"/>
              <w:left w:type="dxa" w:w="110"/>
              <w:bottom w:type="dxa" w:w="50"/>
              <w:right w:type="dxa" w:w="110"/>
            </w:tcMar>
          </w:tcPr>
          <w:p>
            <w:pPr>
              <w:spacing w:before="28" w:after="28"/>
            </w:pPr>
            <w:r>
              <w:rPr>
                <w:sz w:val="15"/>
                <w:szCs w:val="15"/>
              </w:rPr>
              <w:t xml:space="preserve">4,280,000</w:t>
            </w:r>
          </w:p>
        </w:tc>
        <w:tc>
          <w:tcPr>
            <w:tcW w:type="pct" w:w="1381"/>
            <w:tcMar>
              <w:top w:type="dxa" w:w="50"/>
              <w:left w:type="dxa" w:w="110"/>
              <w:bottom w:type="dxa" w:w="50"/>
              <w:right w:type="dxa" w:w="110"/>
            </w:tcMar>
          </w:tcPr>
          <w:p>
            <w:pPr>
              <w:spacing w:before="28" w:after="28"/>
            </w:pPr>
            <w:r>
              <w:rPr>
                <w:sz w:val="15"/>
                <w:szCs w:val="15"/>
              </w:rPr>
              <w:t xml:space="preserve">3,570,000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6,000,000</w:t>
            </w:r>
          </w:p>
        </w:tc>
        <w:tc>
          <w:tcPr>
            <w:tcW w:type="pct" w:w="1381"/>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39"/>
            <w:tcMar>
              <w:top w:type="dxa" w:w="50"/>
              <w:left w:type="dxa" w:w="110"/>
              <w:bottom w:type="dxa" w:w="50"/>
              <w:right w:type="dxa" w:w="110"/>
            </w:tcMar>
          </w:tcPr>
          <w:p>
            <w:pPr>
              <w:spacing w:before="28" w:after="28"/>
            </w:pPr>
            <w:r>
              <w:rPr>
                <w:sz w:val="15"/>
                <w:szCs w:val="15"/>
              </w:rPr>
              <w:t xml:space="preserve">Deferred tax liability</w:t>
            </w:r>
          </w:p>
        </w:tc>
        <w:tc>
          <w:tcPr>
            <w:tcW w:type="pct" w:w="1381"/>
            <w:tcMar>
              <w:top w:type="dxa" w:w="50"/>
              <w:left w:type="dxa" w:w="110"/>
              <w:bottom w:type="dxa" w:w="50"/>
              <w:right w:type="dxa" w:w="110"/>
            </w:tcMar>
          </w:tcPr>
          <w:p>
            <w:pPr>
              <w:spacing w:before="28" w:after="28"/>
            </w:pPr>
            <w:r>
              <w:rPr>
                <w:sz w:val="15"/>
                <w:szCs w:val="15"/>
              </w:rPr>
              <w:t xml:space="preserve">999,625</w:t>
            </w:r>
          </w:p>
        </w:tc>
        <w:tc>
          <w:tcPr>
            <w:tcW w:type="pct" w:w="1381"/>
            <w:tcMar>
              <w:top w:type="dxa" w:w="50"/>
              <w:left w:type="dxa" w:w="110"/>
              <w:bottom w:type="dxa" w:w="50"/>
              <w:right w:type="dxa" w:w="110"/>
            </w:tcMar>
          </w:tcPr>
          <w:p>
            <w:pPr>
              <w:spacing w:before="28" w:after="28"/>
            </w:pPr>
            <w:r>
              <w:rPr>
                <w:sz w:val="15"/>
                <w:szCs w:val="15"/>
              </w:rPr>
              <w:t xml:space="preserve">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11,279,625</w:t>
            </w:r>
          </w:p>
        </w:tc>
        <w:tc>
          <w:tcPr>
            <w:tcW w:type="pct" w:w="1381"/>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381"/>
            <w:tcMar>
              <w:top w:type="dxa" w:w="50"/>
              <w:left w:type="dxa" w:w="110"/>
              <w:bottom w:type="dxa" w:w="50"/>
              <w:right w:type="dxa" w:w="110"/>
            </w:tcMar>
          </w:tcPr>
          <w:p>
            <w:pPr>
              <w:spacing w:before="28" w:after="28"/>
            </w:pPr>
            <w:r>
              <w:rPr>
                <w:sz w:val="15"/>
                <w:szCs w:val="15"/>
              </w:rPr>
              <w:t xml:space="preserve">8,100,000</w:t>
            </w:r>
          </w:p>
        </w:tc>
        <w:tc>
          <w:tcPr>
            <w:tcW w:type="pct" w:w="1381"/>
            <w:tcMar>
              <w:top w:type="dxa" w:w="50"/>
              <w:left w:type="dxa" w:w="110"/>
              <w:bottom w:type="dxa" w:w="50"/>
              <w:right w:type="dxa" w:w="110"/>
            </w:tcMar>
          </w:tcPr>
          <w:p>
            <w:pPr>
              <w:spacing w:before="28" w:after="28"/>
            </w:pPr>
            <w:r>
              <w:rPr>
                <w:sz w:val="15"/>
                <w:szCs w:val="15"/>
              </w:rPr>
              <w:t xml:space="preserve">8,000,000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5,400,000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39"/>
            <w:tcMar>
              <w:top w:type="dxa" w:w="50"/>
              <w:left w:type="dxa" w:w="110"/>
              <w:bottom w:type="dxa" w:w="50"/>
              <w:right w:type="dxa" w:w="110"/>
            </w:tcMar>
          </w:tcPr>
          <w:p>
            <w:pPr>
              <w:spacing w:before="28" w:after="28"/>
            </w:pPr>
            <w:r>
              <w:rPr>
                <w:sz w:val="15"/>
                <w:szCs w:val="15"/>
              </w:rPr>
              <w:t xml:space="preserve">Retained earnings</w:t>
            </w:r>
          </w:p>
        </w:tc>
        <w:tc>
          <w:tcPr>
            <w:tcW w:type="pct" w:w="1381"/>
            <w:tcMar>
              <w:top w:type="dxa" w:w="50"/>
              <w:left w:type="dxa" w:w="110"/>
              <w:bottom w:type="dxa" w:w="50"/>
              <w:right w:type="dxa" w:w="110"/>
            </w:tcMar>
          </w:tcPr>
          <w:p>
            <w:pPr>
              <w:spacing w:before="28" w:after="28"/>
            </w:pPr>
            <w:r>
              <w:rPr>
                <w:sz w:val="15"/>
                <w:szCs w:val="15"/>
              </w:rPr>
              <w:t xml:space="preserve">6,894,100</w:t>
            </w:r>
          </w:p>
        </w:tc>
        <w:tc>
          <w:tcPr>
            <w:tcW w:type="pct" w:w="1381"/>
            <w:tcMar>
              <w:top w:type="dxa" w:w="50"/>
              <w:left w:type="dxa" w:w="110"/>
              <w:bottom w:type="dxa" w:w="50"/>
              <w:right w:type="dxa" w:w="110"/>
            </w:tcMar>
          </w:tcPr>
          <w:p>
            <w:pPr>
              <w:spacing w:before="28" w:after="28"/>
            </w:pPr>
            <w:r>
              <w:rPr>
                <w:sz w:val="15"/>
                <w:szCs w:val="15"/>
              </w:rPr>
              <w:t xml:space="preserve">4,375,000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381"/>
            <w:shd w:fill="FBFAF6" w:val="clear"/>
            <w:tcMar>
              <w:top w:type="dxa" w:w="50"/>
              <w:left w:type="dxa" w:w="110"/>
              <w:bottom w:type="dxa" w:w="50"/>
              <w:right w:type="dxa" w:w="110"/>
            </w:tcMar>
          </w:tcPr>
          <w:p>
            <w:pPr>
              <w:spacing w:before="28" w:after="28"/>
            </w:pPr>
            <w:r>
              <w:rPr>
                <w:sz w:val="15"/>
                <w:szCs w:val="15"/>
              </w:rPr>
              <w:t xml:space="preserve">(1,125)</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stockholders' equity</w:t>
            </w:r>
          </w:p>
        </w:tc>
        <w:tc>
          <w:tcPr>
            <w:tcW w:type="pct" w:w="1381"/>
            <w:tcMar>
              <w:top w:type="dxa" w:w="50"/>
              <w:left w:type="dxa" w:w="110"/>
              <w:bottom w:type="dxa" w:w="50"/>
              <w:right w:type="dxa" w:w="110"/>
            </w:tcMar>
          </w:tcPr>
          <w:p>
            <w:pPr>
              <w:spacing w:before="28" w:after="28"/>
            </w:pPr>
            <w:r>
              <w:rPr>
                <w:sz w:val="15"/>
                <w:szCs w:val="15"/>
              </w:rPr>
              <w:t xml:space="preserve">20,392,975</w:t>
            </w:r>
          </w:p>
        </w:tc>
        <w:tc>
          <w:tcPr>
            <w:tcW w:type="pct" w:w="1381"/>
            <w:tcMar>
              <w:top w:type="dxa" w:w="50"/>
              <w:left w:type="dxa" w:w="110"/>
              <w:bottom w:type="dxa" w:w="50"/>
              <w:right w:type="dxa" w:w="110"/>
            </w:tcMar>
          </w:tcPr>
          <w:p>
            <w:pPr>
              <w:spacing w:before="28" w:after="28"/>
            </w:pPr>
            <w:r>
              <w:rPr>
                <w:sz w:val="15"/>
                <w:szCs w:val="15"/>
              </w:rPr>
              <w:t xml:space="preserve">16,375,000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23–27</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intangible assets.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contingencies   ·   Liabilities   ·   Current   ·   investments   ·   company's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Reclassifying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solvency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capital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obligations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through refinancing, but only if the company intends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long-term debt or shares after the balance sheet date but before the statements are issued, or by signing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   current   ·   settlement   ·   qualifying   ·   refinance   ·   issuing   ·   probable   ·   counts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592"/>
        <w:gridCol w:w="27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350"/>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450"/>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350"/>
            <w:tcMar>
              <w:top w:type="dxa" w:w="50"/>
              <w:left w:type="dxa" w:w="110"/>
              <w:bottom w:type="dxa" w:w="50"/>
              <w:right w:type="dxa" w:w="110"/>
            </w:tcMar>
          </w:tcPr>
          <w:p>
            <w:pPr>
              <w:spacing w:before="28" w:after="28"/>
            </w:pPr>
            <w:r>
              <w:rPr>
                <w:sz w:val="15"/>
                <w:szCs w:val="15"/>
              </w:rPr>
              <w:t xml:space="preserve">Noncurrent (intent and demonstrated ability)</w:t>
            </w:r>
          </w:p>
        </w:tc>
        <w:tc>
          <w:tcPr>
            <w:tcW w:type="pct" w:w="1450"/>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350"/>
            <w:shd w:fill="FBFAF6" w:val="clear"/>
            <w:tcMar>
              <w:top w:type="dxa" w:w="50"/>
              <w:left w:type="dxa" w:w="110"/>
              <w:bottom w:type="dxa" w:w="50"/>
              <w:right w:type="dxa" w:w="110"/>
            </w:tcMar>
          </w:tcPr>
          <w:p>
            <w:pPr>
              <w:spacing w:before="28" w:after="28"/>
            </w:pPr>
            <w:r>
              <w:rPr>
                <w:sz w:val="15"/>
                <w:szCs w:val="15"/>
              </w:rPr>
              <w:t xml:space="preserve">Noncurrent</w:t>
            </w:r>
          </w:p>
        </w:tc>
        <w:tc>
          <w:tcPr>
            <w:tcW w:type="pct" w:w="1450"/>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350"/>
            <w:tcMar>
              <w:top w:type="dxa" w:w="50"/>
              <w:left w:type="dxa" w:w="110"/>
              <w:bottom w:type="dxa" w:w="50"/>
              <w:right w:type="dxa" w:w="110"/>
            </w:tcMar>
          </w:tcPr>
          <w:p>
            <w:pPr>
              <w:spacing w:before="28" w:after="28"/>
            </w:pPr>
            <w:r>
              <w:rPr>
                <w:sz w:val="15"/>
                <w:szCs w:val="15"/>
              </w:rPr>
              <w:t xml:space="preserve">Noncurrent</w:t>
            </w:r>
          </w:p>
        </w:tc>
        <w:tc>
          <w:tcPr>
            <w:tcW w:type="pct" w:w="1450"/>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350"/>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450"/>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350"/>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450"/>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350"/>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45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 non-current   ·   current liabilities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The FASB proposed a simpler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Refinanced after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refinance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subjective acceleration clause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loss contingency   ·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net change in cash in the statement of cash flows explains the change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accumulated   ·   retained   ·   balance-sheet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59"/>
        <w:gridCol w:w="50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37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2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374"/>
            <w:tcMar>
              <w:top w:type="dxa" w:w="50"/>
              <w:left w:type="dxa" w:w="110"/>
              <w:bottom w:type="dxa" w:w="50"/>
              <w:right w:type="dxa" w:w="110"/>
            </w:tcMar>
          </w:tcPr>
          <w:p>
            <w:pPr>
              <w:spacing w:before="28" w:after="28"/>
            </w:pPr>
            <w:r>
              <w:rPr>
                <w:sz w:val="15"/>
                <w:szCs w:val="15"/>
              </w:rPr>
              <w:t xml:space="preserve">Cash surrender value</w:t>
            </w:r>
          </w:p>
        </w:tc>
        <w:tc>
          <w:tcPr>
            <w:tcW w:type="pct" w:w="2626"/>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2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374"/>
            <w:tcMar>
              <w:top w:type="dxa" w:w="50"/>
              <w:left w:type="dxa" w:w="110"/>
              <w:bottom w:type="dxa" w:w="50"/>
              <w:right w:type="dxa" w:w="110"/>
            </w:tcMar>
          </w:tcPr>
          <w:p>
            <w:pPr>
              <w:spacing w:before="28" w:after="28"/>
            </w:pPr>
            <w:r>
              <w:rPr>
                <w:sz w:val="15"/>
                <w:szCs w:val="15"/>
              </w:rPr>
              <w:t xml:space="preserve">Deferred tax asset</w:t>
            </w:r>
          </w:p>
        </w:tc>
        <w:tc>
          <w:tcPr>
            <w:tcW w:type="pct" w:w="2626"/>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26"/>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787336fc654f523ad74989a47cc8d612fe08f0b.png" Type="http://schemas.openxmlformats.org/officeDocument/2006/relationships/image"/><Relationship Id="rId102" Target="media/315b2441ad272fd6bb874381e6a79349364262a3.png" Type="http://schemas.openxmlformats.org/officeDocument/2006/relationships/image"/><Relationship Id="rId103" Target="media/d056aa72316d75178c03d54d92fcd78b476581f4.png" Type="http://schemas.openxmlformats.org/officeDocument/2006/relationships/image"/><Relationship Id="rId104" Target="media/65eaf2e92b829ac5c121279ce79092dba13a1c89.png" Type="http://schemas.openxmlformats.org/officeDocument/2006/relationships/image"/><Relationship Id="rId105" Target="media/62696186d75f7aba50e3a5457b5ee77057337ef6.png" Type="http://schemas.openxmlformats.org/officeDocument/2006/relationships/image"/><Relationship Id="rId106" Target="media/65fe0622ca8f6022da48d66e6b45b9348c94dc1a.png" Type="http://schemas.openxmlformats.org/officeDocument/2006/relationships/image"/><Relationship Id="rId107" Target="media/3b2089c2bdaace68502e24e39b72b726d0b3650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dc:title>
  <dc:subject>Summary handouts</dc:subject>
  <cp:category>Student Book</cp:category>
</cp:coreProperties>
</file>