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net realizable value (NRV)</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recognized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31"/>
        <w:gridCol w:w="456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2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38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80"/>
            <w:tcMar>
              <w:top w:type="dxa" w:w="50"/>
              <w:left w:type="dxa" w:w="110"/>
              <w:bottom w:type="dxa" w:w="50"/>
              <w:right w:type="dxa" w:w="110"/>
            </w:tcMar>
          </w:tcPr>
          <w:p>
            <w:pPr>
              <w:spacing w:before="28" w:after="28"/>
            </w:pPr>
            <w:r>
              <w:rPr>
                <w:sz w:val="15"/>
                <w:szCs w:val="15"/>
              </w:rPr>
              <w:t xml:space="preserve">2,000</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38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20"/>
            <w:tcMar>
              <w:top w:type="dxa" w:w="50"/>
              <w:left w:type="dxa" w:w="110"/>
              <w:bottom w:type="dxa" w:w="50"/>
              <w:right w:type="dxa" w:w="110"/>
            </w:tcMar>
          </w:tcPr>
          <w:p>
            <w:pPr>
              <w:spacing w:before="28" w:after="28"/>
            </w:pPr>
            <w:r>
              <w:rPr>
                <w:sz w:val="15"/>
                <w:szCs w:val="15"/>
              </w:rPr>
              <w:t xml:space="preserve">New estimated selling price per case</w:t>
            </w:r>
          </w:p>
        </w:tc>
        <w:tc>
          <w:tcPr>
            <w:tcW w:type="pct" w:w="2380"/>
            <w:tcMar>
              <w:top w:type="dxa" w:w="50"/>
              <w:left w:type="dxa" w:w="110"/>
              <w:bottom w:type="dxa" w:w="50"/>
              <w:right w:type="dxa" w:w="110"/>
            </w:tcMar>
          </w:tcPr>
          <w:p>
            <w:pPr>
              <w:spacing w:before="28" w:after="28"/>
            </w:pPr>
            <w:r>
              <w:rPr>
                <w:sz w:val="15"/>
                <w:szCs w:val="15"/>
              </w:rPr>
              <w:t xml:space="preserve">$54</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38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80"/>
            <w:tcMar>
              <w:top w:type="dxa" w:w="50"/>
              <w:left w:type="dxa" w:w="110"/>
              <w:bottom w:type="dxa" w:w="50"/>
              <w:right w:type="dxa" w:w="110"/>
            </w:tcMar>
          </w:tcPr>
          <w:p>
            <w:pPr>
              <w:spacing w:before="28" w:after="28"/>
            </w:pPr>
            <w:r>
              <w:rPr>
                <w:sz w:val="15"/>
                <w:szCs w:val="15"/>
              </w:rPr>
              <w:t xml:space="preserve">$48</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8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80"/>
            <w:tcMar>
              <w:top w:type="dxa" w:w="50"/>
              <w:left w:type="dxa" w:w="110"/>
              <w:bottom w:type="dxa" w:w="50"/>
              <w:right w:type="dxa" w:w="110"/>
            </w:tcMar>
          </w:tcPr>
          <w:p>
            <w:pPr>
              <w:spacing w:before="28" w:after="28"/>
            </w:pPr>
            <w:r>
              <w:rPr>
                <w:sz w:val="15"/>
                <w:szCs w:val="15"/>
              </w:rPr>
              <w:t xml:space="preserve">$96,000</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38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22–26</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   ·   original</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markdown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cost-to-retail ratio   ·   replacement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replacement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floor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because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34"/>
        <w:gridCol w:w="1017"/>
        <w:gridCol w:w="864"/>
        <w:gridCol w:w="1396"/>
        <w:gridCol w:w="1104"/>
        <w:gridCol w:w="864"/>
        <w:gridCol w:w="864"/>
        <w:gridCol w:w="1032"/>
        <w:gridCol w:w="1026"/>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LCM, item by item, for four Orontes product lines measured under LIFO (whole USD per case)</w:t>
            </w:r>
          </w:p>
        </w:tc>
      </w:tr>
      <w:tr>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30"/>
            <w:shd w:fill="353A7C" w:val="clear"/>
            <w:tcMar>
              <w:top w:type="dxa" w:w="50"/>
              <w:left w:type="dxa" w:w="110"/>
              <w:bottom w:type="dxa" w:w="50"/>
              <w:right w:type="dxa" w:w="110"/>
            </w:tcMar>
          </w:tcPr>
          <w:p>
            <w:pPr>
              <w:spacing w:before="30" w:after="30"/>
            </w:pPr>
            <w:r>
              <w:rPr>
                <w:b/>
                <w:bCs/>
                <w:color w:val="FFFFFF"/>
                <w:sz w:val="15"/>
                <w:szCs w:val="15"/>
              </w:rPr>
              <w:t xml:space="preserve">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727"/>
            <w:shd w:fill="353A7C" w:val="clear"/>
            <w:tcMar>
              <w:top w:type="dxa" w:w="50"/>
              <w:left w:type="dxa" w:w="110"/>
              <w:bottom w:type="dxa" w:w="50"/>
              <w:right w:type="dxa" w:w="110"/>
            </w:tcMar>
          </w:tcPr>
          <w:p>
            <w:pPr>
              <w:spacing w:before="30" w:after="30"/>
            </w:pPr>
            <w:r>
              <w:rPr>
                <w:b/>
                <w:bCs/>
                <w:color w:val="FFFFFF"/>
                <w:sz w:val="15"/>
                <w:szCs w:val="15"/>
              </w:rPr>
              <w:t xml:space="preserve">Replace-ment cost</w:t>
            </w:r>
          </w:p>
        </w:tc>
        <w:tc>
          <w:tcPr>
            <w:tcW w:type="pct" w:w="575"/>
            <w:shd w:fill="353A7C" w:val="clear"/>
            <w:tcMar>
              <w:top w:type="dxa" w:w="50"/>
              <w:left w:type="dxa" w:w="110"/>
              <w:bottom w:type="dxa" w:w="50"/>
              <w:right w:type="dxa" w:w="110"/>
            </w:tcMar>
          </w:tcPr>
          <w:p>
            <w:pPr>
              <w:spacing w:before="30" w:after="30"/>
            </w:pPr>
            <w:r>
              <w:rPr>
                <w:b/>
                <w:bCs/>
                <w:color w:val="FFFFFF"/>
                <w:sz w:val="15"/>
                <w:szCs w:val="15"/>
              </w:rPr>
              <w:t xml:space="preserve">NRV (ceiling)</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Floor</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Market</w:t>
            </w:r>
          </w:p>
        </w:tc>
        <w:tc>
          <w:tcPr>
            <w:tcW w:type="pct" w:w="537"/>
            <w:shd w:fill="353A7C" w:val="clear"/>
            <w:tcMar>
              <w:top w:type="dxa" w:w="50"/>
              <w:left w:type="dxa" w:w="110"/>
              <w:bottom w:type="dxa" w:w="50"/>
              <w:right w:type="dxa" w:w="110"/>
            </w:tcMar>
          </w:tcPr>
          <w:p>
            <w:pPr>
              <w:spacing w:before="30" w:after="30"/>
            </w:pPr>
            <w:r>
              <w:rPr>
                <w:b/>
                <w:bCs/>
                <w:color w:val="FFFFFF"/>
                <w:sz w:val="15"/>
                <w:szCs w:val="15"/>
              </w:rPr>
              <w:t xml:space="preserve">LCM per case</w:t>
            </w:r>
          </w:p>
        </w:tc>
        <w:tc>
          <w:tcPr>
            <w:tcW w:type="pct" w:w="534"/>
            <w:shd w:fill="353A7C" w:val="clear"/>
            <w:tcMar>
              <w:top w:type="dxa" w:w="50"/>
              <w:left w:type="dxa" w:w="110"/>
              <w:bottom w:type="dxa" w:w="50"/>
              <w:right w:type="dxa" w:w="110"/>
            </w:tcMar>
          </w:tcPr>
          <w:p>
            <w:pPr>
              <w:spacing w:before="30" w:after="30"/>
            </w:pPr>
            <w:r>
              <w:rPr>
                <w:b/>
                <w:bCs/>
                <w:color w:val="FFFFFF"/>
                <w:sz w:val="15"/>
                <w:szCs w:val="15"/>
              </w:rPr>
              <w:t xml:space="preserve">Write-down</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530"/>
            <w:tcMar>
              <w:top w:type="dxa" w:w="50"/>
              <w:left w:type="dxa" w:w="110"/>
              <w:bottom w:type="dxa" w:w="50"/>
              <w:right w:type="dxa" w:w="110"/>
            </w:tcMar>
          </w:tcPr>
          <w:p>
            <w:pPr>
              <w:spacing w:before="28" w:after="28"/>
            </w:pPr>
            <w:r>
              <w:rPr>
                <w:sz w:val="15"/>
                <w:szCs w:val="15"/>
              </w:rPr>
              <w:t xml:space="preserve">1,000</w:t>
            </w:r>
          </w:p>
        </w:tc>
        <w:tc>
          <w:tcPr>
            <w:tcW w:type="pct" w:w="450"/>
            <w:tcMar>
              <w:top w:type="dxa" w:w="50"/>
              <w:left w:type="dxa" w:w="110"/>
              <w:bottom w:type="dxa" w:w="50"/>
              <w:right w:type="dxa" w:w="110"/>
            </w:tcMar>
          </w:tcPr>
          <w:p>
            <w:pPr>
              <w:spacing w:before="28" w:after="28"/>
            </w:pPr>
            <w:r>
              <w:rPr>
                <w:sz w:val="15"/>
                <w:szCs w:val="15"/>
              </w:rPr>
              <w:t xml:space="preserve">30</w:t>
            </w:r>
          </w:p>
        </w:tc>
        <w:tc>
          <w:tcPr>
            <w:tcW w:type="pct" w:w="727"/>
            <w:tcMar>
              <w:top w:type="dxa" w:w="50"/>
              <w:left w:type="dxa" w:w="110"/>
              <w:bottom w:type="dxa" w:w="50"/>
              <w:right w:type="dxa" w:w="110"/>
            </w:tcMar>
          </w:tcPr>
          <w:p>
            <w:pPr>
              <w:spacing w:before="28" w:after="28"/>
            </w:pPr>
            <w:r>
              <w:rPr>
                <w:sz w:val="15"/>
                <w:szCs w:val="15"/>
              </w:rPr>
              <w:t xml:space="preserve">27</w:t>
            </w:r>
          </w:p>
        </w:tc>
        <w:tc>
          <w:tcPr>
            <w:tcW w:type="pct" w:w="575"/>
            <w:tcMar>
              <w:top w:type="dxa" w:w="50"/>
              <w:left w:type="dxa" w:w="110"/>
              <w:bottom w:type="dxa" w:w="50"/>
              <w:right w:type="dxa" w:w="110"/>
            </w:tcMar>
          </w:tcPr>
          <w:p>
            <w:pPr>
              <w:spacing w:before="28" w:after="28"/>
            </w:pPr>
            <w:r>
              <w:rPr>
                <w:sz w:val="15"/>
                <w:szCs w:val="15"/>
              </w:rPr>
              <w:t xml:space="preserve">36</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537"/>
            <w:tcMar>
              <w:top w:type="dxa" w:w="50"/>
              <w:left w:type="dxa" w:w="110"/>
              <w:bottom w:type="dxa" w:w="50"/>
              <w:right w:type="dxa" w:w="110"/>
            </w:tcMar>
          </w:tcPr>
          <w:p>
            <w:pPr>
              <w:spacing w:before="28" w:after="28"/>
            </w:pPr>
            <w:r>
              <w:rPr>
                <w:sz w:val="15"/>
                <w:szCs w:val="15"/>
              </w:rPr>
              <w:t xml:space="preserve">28</w:t>
            </w:r>
          </w:p>
        </w:tc>
        <w:tc>
          <w:tcPr>
            <w:tcW w:type="pct" w:w="534"/>
            <w:tcMar>
              <w:top w:type="dxa" w:w="50"/>
              <w:left w:type="dxa" w:w="110"/>
              <w:bottom w:type="dxa" w:w="50"/>
              <w:right w:type="dxa" w:w="110"/>
            </w:tcMar>
          </w:tcPr>
          <w:p>
            <w:pPr>
              <w:spacing w:before="28" w:after="28"/>
            </w:pPr>
            <w:r>
              <w:rPr>
                <w:sz w:val="15"/>
                <w:szCs w:val="15"/>
              </w:rPr>
              <w:t xml:space="preserve">2,000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Chickpeas</w:t>
            </w:r>
          </w:p>
        </w:tc>
        <w:tc>
          <w:tcPr>
            <w:tcW w:type="pct" w:w="530"/>
            <w:shd w:fill="FBFAF6" w:val="clear"/>
            <w:tcMar>
              <w:top w:type="dxa" w:w="50"/>
              <w:left w:type="dxa" w:w="110"/>
              <w:bottom w:type="dxa" w:w="50"/>
              <w:right w:type="dxa" w:w="110"/>
            </w:tcMar>
          </w:tcPr>
          <w:p>
            <w:pPr>
              <w:spacing w:before="28" w:after="28"/>
            </w:pPr>
            <w:r>
              <w:rPr>
                <w:sz w:val="15"/>
                <w:szCs w:val="15"/>
              </w:rPr>
              <w:t xml:space="preserve">2,000</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727"/>
            <w:shd w:fill="FBFAF6" w:val="clear"/>
            <w:tcMar>
              <w:top w:type="dxa" w:w="50"/>
              <w:left w:type="dxa" w:w="110"/>
              <w:bottom w:type="dxa" w:w="50"/>
              <w:right w:type="dxa" w:w="110"/>
            </w:tcMar>
          </w:tcPr>
          <w:p>
            <w:pPr>
              <w:spacing w:before="28" w:after="28"/>
            </w:pPr>
            <w:r>
              <w:rPr>
                <w:sz w:val="15"/>
                <w:szCs w:val="15"/>
              </w:rPr>
              <w:t xml:space="preserve">22</w:t>
            </w:r>
          </w:p>
        </w:tc>
        <w:tc>
          <w:tcPr>
            <w:tcW w:type="pct" w:w="575"/>
            <w:shd w:fill="FBFAF6" w:val="clear"/>
            <w:tcMar>
              <w:top w:type="dxa" w:w="50"/>
              <w:left w:type="dxa" w:w="110"/>
              <w:bottom w:type="dxa" w:w="50"/>
              <w:right w:type="dxa" w:w="110"/>
            </w:tcMar>
          </w:tcPr>
          <w:p>
            <w:pPr>
              <w:spacing w:before="28" w:after="28"/>
            </w:pPr>
            <w:r>
              <w:rPr>
                <w:sz w:val="15"/>
                <w:szCs w:val="15"/>
              </w:rPr>
              <w:t xml:space="preserve">27</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537"/>
            <w:shd w:fill="FBFAF6" w:val="clear"/>
            <w:tcMar>
              <w:top w:type="dxa" w:w="50"/>
              <w:left w:type="dxa" w:w="110"/>
              <w:bottom w:type="dxa" w:w="50"/>
              <w:right w:type="dxa" w:w="110"/>
            </w:tcMar>
          </w:tcPr>
          <w:p>
            <w:pPr>
              <w:spacing w:before="28" w:after="28"/>
            </w:pPr>
            <w:r>
              <w:rPr>
                <w:sz w:val="15"/>
                <w:szCs w:val="15"/>
              </w:rPr>
              <w:t xml:space="preserve">20</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30"/>
            <w:tcMar>
              <w:top w:type="dxa" w:w="50"/>
              <w:left w:type="dxa" w:w="110"/>
              <w:bottom w:type="dxa" w:w="50"/>
              <w:right w:type="dxa" w:w="110"/>
            </w:tcMar>
          </w:tcPr>
          <w:p>
            <w:pPr>
              <w:spacing w:before="28" w:after="28"/>
            </w:pPr>
            <w:r>
              <w:rPr>
                <w:sz w:val="15"/>
                <w:szCs w:val="15"/>
              </w:rPr>
              <w:t xml:space="preserve">500</w:t>
            </w:r>
          </w:p>
        </w:tc>
        <w:tc>
          <w:tcPr>
            <w:tcW w:type="pct" w:w="450"/>
            <w:tcMar>
              <w:top w:type="dxa" w:w="50"/>
              <w:left w:type="dxa" w:w="110"/>
              <w:bottom w:type="dxa" w:w="50"/>
              <w:right w:type="dxa" w:w="110"/>
            </w:tcMar>
          </w:tcPr>
          <w:p>
            <w:pPr>
              <w:spacing w:before="28" w:after="28"/>
            </w:pPr>
            <w:r>
              <w:rPr>
                <w:sz w:val="15"/>
                <w:szCs w:val="15"/>
              </w:rPr>
              <w:t xml:space="preserve">50</w:t>
            </w:r>
          </w:p>
        </w:tc>
        <w:tc>
          <w:tcPr>
            <w:tcW w:type="pct" w:w="727"/>
            <w:tcMar>
              <w:top w:type="dxa" w:w="50"/>
              <w:left w:type="dxa" w:w="110"/>
              <w:bottom w:type="dxa" w:w="50"/>
              <w:right w:type="dxa" w:w="110"/>
            </w:tcMar>
          </w:tcPr>
          <w:p>
            <w:pPr>
              <w:spacing w:before="28" w:after="28"/>
            </w:pPr>
            <w:r>
              <w:rPr>
                <w:sz w:val="15"/>
                <w:szCs w:val="15"/>
              </w:rPr>
              <w:t xml:space="preserve">48</w:t>
            </w:r>
          </w:p>
        </w:tc>
        <w:tc>
          <w:tcPr>
            <w:tcW w:type="pct" w:w="575"/>
            <w:tcMar>
              <w:top w:type="dxa" w:w="50"/>
              <w:left w:type="dxa" w:w="110"/>
              <w:bottom w:type="dxa" w:w="50"/>
              <w:right w:type="dxa" w:w="110"/>
            </w:tcMar>
          </w:tcPr>
          <w:p>
            <w:pPr>
              <w:spacing w:before="28" w:after="28"/>
            </w:pPr>
            <w:r>
              <w:rPr>
                <w:sz w:val="15"/>
                <w:szCs w:val="15"/>
              </w:rPr>
              <w:t xml:space="preserve">45</w:t>
            </w:r>
          </w:p>
        </w:tc>
        <w:tc>
          <w:tcPr>
            <w:tcW w:type="pct" w:w="450"/>
            <w:tcMar>
              <w:top w:type="dxa" w:w="50"/>
              <w:left w:type="dxa" w:w="110"/>
              <w:bottom w:type="dxa" w:w="50"/>
              <w:right w:type="dxa" w:w="110"/>
            </w:tcMar>
          </w:tcPr>
          <w:p>
            <w:pPr>
              <w:spacing w:before="28" w:after="28"/>
            </w:pPr>
            <w:r>
              <w:rPr>
                <w:sz w:val="15"/>
                <w:szCs w:val="15"/>
              </w:rPr>
              <w:t xml:space="preserve">39</w:t>
            </w:r>
          </w:p>
        </w:tc>
        <w:tc>
          <w:tcPr>
            <w:tcW w:type="pct" w:w="450"/>
            <w:tcMar>
              <w:top w:type="dxa" w:w="50"/>
              <w:left w:type="dxa" w:w="110"/>
              <w:bottom w:type="dxa" w:w="50"/>
              <w:right w:type="dxa" w:w="110"/>
            </w:tcMar>
          </w:tcPr>
          <w:p>
            <w:pPr>
              <w:spacing w:before="28" w:after="28"/>
            </w:pPr>
            <w:r>
              <w:rPr>
                <w:sz w:val="15"/>
                <w:szCs w:val="15"/>
              </w:rPr>
              <w:t xml:space="preserve">45</w:t>
            </w:r>
          </w:p>
        </w:tc>
        <w:tc>
          <w:tcPr>
            <w:tcW w:type="pct" w:w="537"/>
            <w:tcMar>
              <w:top w:type="dxa" w:w="50"/>
              <w:left w:type="dxa" w:w="110"/>
              <w:bottom w:type="dxa" w:w="50"/>
              <w:right w:type="dxa" w:w="110"/>
            </w:tcMar>
          </w:tcPr>
          <w:p>
            <w:pPr>
              <w:spacing w:before="28" w:after="28"/>
            </w:pPr>
            <w:r>
              <w:rPr>
                <w:sz w:val="15"/>
                <w:szCs w:val="15"/>
              </w:rPr>
              <w:t xml:space="preserve">45</w:t>
            </w:r>
          </w:p>
        </w:tc>
        <w:tc>
          <w:tcPr>
            <w:tcW w:type="pct" w:w="534"/>
            <w:tcMar>
              <w:top w:type="dxa" w:w="50"/>
              <w:left w:type="dxa" w:w="110"/>
              <w:bottom w:type="dxa" w:w="50"/>
              <w:right w:type="dxa" w:w="110"/>
            </w:tcMar>
          </w:tcPr>
          <w:p>
            <w:pPr>
              <w:spacing w:before="28" w:after="28"/>
            </w:pPr>
            <w:r>
              <w:rPr>
                <w:sz w:val="15"/>
                <w:szCs w:val="15"/>
              </w:rPr>
              <w:t xml:space="preserve">2,500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Halva</w:t>
            </w:r>
          </w:p>
        </w:tc>
        <w:tc>
          <w:tcPr>
            <w:tcW w:type="pct" w:w="530"/>
            <w:shd w:fill="FBFAF6" w:val="clear"/>
            <w:tcMar>
              <w:top w:type="dxa" w:w="50"/>
              <w:left w:type="dxa" w:w="110"/>
              <w:bottom w:type="dxa" w:w="50"/>
              <w:right w:type="dxa" w:w="110"/>
            </w:tcMar>
          </w:tcPr>
          <w:p>
            <w:pPr>
              <w:spacing w:before="28" w:after="28"/>
            </w:pPr>
            <w:r>
              <w:rPr>
                <w:sz w:val="15"/>
                <w:szCs w:val="15"/>
              </w:rPr>
              <w:t xml:space="preserve">1,500</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727"/>
            <w:shd w:fill="FBFAF6" w:val="clear"/>
            <w:tcMar>
              <w:top w:type="dxa" w:w="50"/>
              <w:left w:type="dxa" w:w="110"/>
              <w:bottom w:type="dxa" w:w="50"/>
              <w:right w:type="dxa" w:w="110"/>
            </w:tcMar>
          </w:tcPr>
          <w:p>
            <w:pPr>
              <w:spacing w:before="28" w:after="28"/>
            </w:pPr>
            <w:r>
              <w:rPr>
                <w:sz w:val="15"/>
                <w:szCs w:val="15"/>
              </w:rPr>
              <w:t xml:space="preserve">15</w:t>
            </w:r>
          </w:p>
        </w:tc>
        <w:tc>
          <w:tcPr>
            <w:tcW w:type="pct" w:w="575"/>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537"/>
            <w:shd w:fill="FBFAF6" w:val="clear"/>
            <w:tcMar>
              <w:top w:type="dxa" w:w="50"/>
              <w:left w:type="dxa" w:w="110"/>
              <w:bottom w:type="dxa" w:w="50"/>
              <w:right w:type="dxa" w:w="110"/>
            </w:tcMar>
          </w:tcPr>
          <w:p>
            <w:pPr>
              <w:spacing w:before="28" w:after="28"/>
            </w:pPr>
            <w:r>
              <w:rPr>
                <w:sz w:val="15"/>
                <w:szCs w:val="15"/>
              </w:rPr>
              <w:t xml:space="preserve">18</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3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727"/>
            <w:tcMar>
              <w:top w:type="dxa" w:w="50"/>
              <w:left w:type="dxa" w:w="110"/>
              <w:bottom w:type="dxa" w:w="50"/>
              <w:right w:type="dxa" w:w="110"/>
            </w:tcMar>
          </w:tcPr>
          <w:p>
            <w:pPr>
              <w:spacing w:before="28" w:after="28"/>
            </w:pPr>
            <w:r>
              <w:rPr>
                <w:sz w:val="15"/>
                <w:szCs w:val="15"/>
              </w:rPr>
              <w:t xml:space="preserve"> </w:t>
            </w:r>
          </w:p>
        </w:tc>
        <w:tc>
          <w:tcPr>
            <w:tcW w:type="pct" w:w="575"/>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537"/>
            <w:tcMar>
              <w:top w:type="dxa" w:w="50"/>
              <w:left w:type="dxa" w:w="110"/>
              <w:bottom w:type="dxa" w:w="50"/>
              <w:right w:type="dxa" w:w="110"/>
            </w:tcMar>
          </w:tcPr>
          <w:p>
            <w:pPr>
              <w:spacing w:before="28" w:after="28"/>
            </w:pPr>
            <w:r>
              <w:rPr>
                <w:sz w:val="15"/>
                <w:szCs w:val="15"/>
              </w:rPr>
              <w:t xml:space="preserve"> </w:t>
            </w:r>
          </w:p>
        </w:tc>
        <w:tc>
          <w:tcPr>
            <w:tcW w:type="pct" w:w="534"/>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syrup   ·   Tahini   ·   Chickpeas   ·   Total</w:t>
            </w:r>
          </w:p>
        </w:tc>
      </w:tr>
    </w:tbl>
    <w:p/>
    <w:p>
      <w:pPr>
        <w:spacing w:before="44" w:after="14"/>
      </w:pPr>
      <w:r>
        <w:rPr>
          <w:b/>
          <w:bCs/>
          <w:color w:val="353A7C"/>
          <w:sz w:val="18"/>
          <w:szCs w:val="18"/>
        </w:rPr>
        <w:t xml:space="preserve">Summary 2</w:t>
      </w:r>
      <w:r>
        <w:rPr>
          <w:color w:val="6B7280"/>
          <w:sz w:val="16"/>
          <w:szCs w:val="16"/>
        </w:rPr>
        <w:t xml:space="preserve">      gaps 14–20</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category or to the total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consistently   ·   non-cancellable   ·   ceiling   ·   expected   ·   conservative   ·   inventory   ·   compared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Do not compare replacement cost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item by item, by category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expected   ·   directly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Date syrup</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item-by-item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warehouse</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cost-to-retail ratio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floor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A LIFO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method also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adds a new layer each year at that year's ratio. </w:t>
      </w:r>
      <w:r>
        <w:rPr>
          <w:sz w:val="19"/>
          <w:szCs w:val="19"/>
        </w:rPr>
        <w:t xml:space="preserve">The exam tests it less often. </w:t>
      </w:r>
      <w:r>
        <w:rPr>
          <w:sz w:val="19"/>
          <w:szCs w:val="19"/>
        </w:rPr>
        <w:t xml:space="preserve">The gross profit method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reports, to check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annual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in Jebel Ali. </w:t>
      </w:r>
      <w:r>
        <w:rPr>
          <w:sz w:val="19"/>
          <w:szCs w:val="19"/>
        </w:rPr>
        <w:t xml:space="preserve">Beginning inventory was $80,000,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costing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destroyed   ·   leaves   ·   available   ·   purchases   ·   markdowns   ·   acceptable   ·   estimates   ·   statements   ·   interim   ·   physical   ·   exists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expensive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floor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interim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records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identical   ·   prices   ·   out-of-date   ·   markdown   ·   statements   ·   smooths   ·   manipulate   ·   strengths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conformity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identical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profits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cost-to-retail ratio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purchase commitment   ·   LCNRV</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edb5ab9d7c91d775501d61b6ee2e8f96dc509cd.png" Type="http://schemas.openxmlformats.org/officeDocument/2006/relationships/image"/><Relationship Id="rId102" Target="media/1e08ac3cb744318270531de87752c4c4d74589e3.png" Type="http://schemas.openxmlformats.org/officeDocument/2006/relationships/image"/><Relationship Id="rId103" Target="media/98388d710a55d3eb659007cf17113d5da11282b9.png" Type="http://schemas.openxmlformats.org/officeDocument/2006/relationships/image"/><Relationship Id="rId104" Target="media/d87a5982d634a548c0ac0a4870440b3607c2da1f.png" Type="http://schemas.openxmlformats.org/officeDocument/2006/relationships/image"/><Relationship Id="rId105" Target="media/ce5485de9a2a57634b2f77957276f20369ca7f19.png" Type="http://schemas.openxmlformats.org/officeDocument/2006/relationships/image"/><Relationship Id="rId106" Target="media/2f2b395c51d2599f16674019ad8bb92abbf954e5.png" Type="http://schemas.openxmlformats.org/officeDocument/2006/relationships/image"/><Relationship Id="rId107" Target="media/e8b25e07cdaf15d08cbffc91acf11f97ae334976.png" Type="http://schemas.openxmlformats.org/officeDocument/2006/relationships/image"/><Relationship Id="rId108" Target="media/b00ea7490dd164b3af8b631a42d8342e53a455f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8</dc:title>
  <dc:subject>Summary handouts</dc:subject>
  <cp:category>Student Book</cp:category>
</cp:coreProperties>
</file>