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positive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ownership   ·   holder   ·   classification   ·   Held-to-maturity   ·   bought   ·   positive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أداة دين (سند)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fair value option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debt security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Interest revenue in net income (effective interest)</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writes the security down to fair value through net income   ·   recovers   ·   reclassification adjustment   ·   separates</w:t>
            </w:r>
          </w:p>
        </w:tc>
      </w:tr>
    </w:tbl>
    <w:p/>
    <w:p>
      <w:pPr>
        <w:spacing w:before="44" w:after="14"/>
      </w:pPr>
      <w:r>
        <w:rPr>
          <w:b/>
          <w:bCs/>
          <w:color w:val="353A7C"/>
          <w:sz w:val="18"/>
          <w:szCs w:val="18"/>
        </w:rPr>
        <w:t xml:space="preserve">Summary 2</w:t>
      </w:r>
      <w:r>
        <w:rPr>
          <w:color w:val="6B7280"/>
          <w:sz w:val="16"/>
          <w:szCs w:val="16"/>
        </w:rPr>
        <w:t xml:space="preserve">      gaps 11–15</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Otherwise   ·   decline   ·   improves   ·   limited   ·   Nothing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AFS allowance ≤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20–26</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change   ·   depreciated   ·   Glass's   ·   private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27–37</w:t>
      </w:r>
    </w:p>
    <w:p>
      <w:pPr>
        <w:spacing w:before="20" w:after="20" w:line="360" w:lineRule="auto"/>
        <w:ind w:left="200"/>
      </w:pPr>
      <w:r>
        <w:rPr>
          <w:sz w:val="19"/>
          <w:szCs w:val="19"/>
        </w:rPr>
        <w:t xml:space="preserve">In 2026 Jordan Glass earns $400,000 and pays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definition   ·   amortize   ·   dividends   ·   eliminated   ·   irrevocable   ·   guaranteed   ·   impairment   ·   classifies   ·   questions   ·   significant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Equity method: dividends reduce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51"/>
        <w:gridCol w:w="514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318"/>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8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318"/>
            <w:tcMar>
              <w:top w:type="dxa" w:w="50"/>
              <w:left w:type="dxa" w:w="110"/>
              <w:bottom w:type="dxa" w:w="50"/>
              <w:right w:type="dxa" w:w="110"/>
            </w:tcMar>
          </w:tcPr>
          <w:p>
            <w:pPr>
              <w:spacing w:before="28" w:after="28"/>
            </w:pPr>
            <w:r>
              <w:rPr>
                <w:sz w:val="15"/>
                <w:szCs w:val="15"/>
              </w:rPr>
              <w:t xml:space="preserve">A</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B</w:t>
            </w:r>
          </w:p>
        </w:tc>
        <w:tc>
          <w:tcPr>
            <w:tcW w:type="pct" w:w="2682"/>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318"/>
            <w:tcMar>
              <w:top w:type="dxa" w:w="50"/>
              <w:left w:type="dxa" w:w="110"/>
              <w:bottom w:type="dxa" w:w="50"/>
              <w:right w:type="dxa" w:w="110"/>
            </w:tcMar>
          </w:tcPr>
          <w:p>
            <w:pPr>
              <w:spacing w:before="28" w:after="28"/>
            </w:pPr>
            <w:r>
              <w:rPr>
                <w:sz w:val="15"/>
                <w:szCs w:val="15"/>
              </w:rPr>
              <w:t xml:space="preserve">C</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D</w:t>
            </w:r>
          </w:p>
        </w:tc>
        <w:tc>
          <w:tcPr>
            <w:tcW w:type="pct" w:w="2682"/>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318"/>
            <w:tcMar>
              <w:top w:type="dxa" w:w="50"/>
              <w:left w:type="dxa" w:w="110"/>
              <w:bottom w:type="dxa" w:w="50"/>
              <w:right w:type="dxa" w:w="110"/>
            </w:tcMar>
          </w:tcPr>
          <w:p>
            <w:pPr>
              <w:spacing w:before="28" w:after="28"/>
            </w:pPr>
            <w:r>
              <w:rPr>
                <w:sz w:val="15"/>
                <w:szCs w:val="15"/>
              </w:rPr>
              <w:t xml:space="preserve">E</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
          <w:pgSz w:w="11906" w:h="16838" w:orient="portrait"/>
          <w:pgMar w:top="1180" w:right="1000" w:bottom="900" w:left="1000" w:header="708" w:footer="708" w:gutter="0"/>
          <w:docGrid w:linePitch="360"/>
          <w:pgNumType w:start="1"/>
        </w:sectPr>
      </w:pPr>
    </w:p>
    <w:sectPr>
      <w:headerReference w:type="default" r:id="rIdHdr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83d6d583445e81aedf1f7b8b157a9d6569acfa7.png" Type="http://schemas.openxmlformats.org/officeDocument/2006/relationships/image"/><Relationship Id="rId102" Target="media/c3461e61b5b88345f64a50e11dc6f4fab5432d48.png" Type="http://schemas.openxmlformats.org/officeDocument/2006/relationships/image"/><Relationship Id="rId103" Target="media/ca821dc7724e8d7a963392327aebeb84ce07a2ae.png" Type="http://schemas.openxmlformats.org/officeDocument/2006/relationships/image"/><Relationship Id="rId104" Target="media/3b396b24f7bb9f4f794b379ee8ceb56d875595f6.png" Type="http://schemas.openxmlformats.org/officeDocument/2006/relationships/image"/><Relationship Id="rId105" Target="media/62ab27d3e4954656d8b7dccbb46172aa1c114b06.png" Type="http://schemas.openxmlformats.org/officeDocument/2006/relationships/image"/><Relationship Id="rId106" Target="media/0ab1e5735cfdf87991bbef41a2f57cb614950b6e.png" Type="http://schemas.openxmlformats.org/officeDocument/2006/relationships/image"/><Relationship Id="rId107" Target="media/683bc8aad0b67e817be65e6f6237919d39e2416a.png" Type="http://schemas.openxmlformats.org/officeDocument/2006/relationships/image"/><Relationship Id="rId108" Target="media/40a64238a9660113a6983bf1731803e754488c1b.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9</dc:title>
  <dc:subject>Summary handouts</dc:subject>
  <cp:category>Student Book</cp:category>
</cp:coreProperties>
</file>