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13.1  Why book income and taxable income differ</w:t>
            </w:r>
          </w:p>
          <w:p>
            <w:pPr>
              <w:spacing w:before="0" w:after="46"/>
            </w:pPr>
            <w:r>
              <w:rPr>
                <w:color w:val="E8EAF6"/>
                <w:sz w:val="16"/>
                <w:szCs w:val="16"/>
              </w:rPr>
              <w:t xml:space="preserve">Chapter 13 · section 13.1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Temporary and permanent differences   ·   IFRS differences and disclosures   ·   Rate changes, valuation allowances, losses and</w:t>
            </w:r>
          </w:p>
        </w:tc>
      </w:tr>
    </w:tbl>
    <w:p/>
    <w:p>
      <w:pPr>
        <w:spacing w:before="44" w:after="14"/>
      </w:pPr>
      <w:r>
        <w:rPr>
          <w:b/>
          <w:bCs/>
          <w:color w:val="353A7C"/>
          <w:sz w:val="18"/>
          <w:szCs w:val="18"/>
        </w:rPr>
        <w:t xml:space="preserve">Summary 1</w:t>
      </w:r>
      <w:r>
        <w:rPr>
          <w:color w:val="6B7280"/>
          <w:sz w:val="16"/>
          <w:szCs w:val="16"/>
        </w:rPr>
        <w:t xml:space="preserve">      gaps 3–9</w:t>
      </w:r>
    </w:p>
    <w:p>
      <w:pPr>
        <w:spacing w:before="20" w:after="20" w:line="360" w:lineRule="auto"/>
        <w:ind w:left="200"/>
      </w:pPr>
      <w:r>
        <w:rPr>
          <w:sz w:val="19"/>
          <w:szCs w:val="19"/>
        </w:rPr>
        <w:t xml:space="preserve">Financial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follow U.S. GAAP and are prepared for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Tax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follow tax law and are prepared for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two sets of rules have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goals, so taxable income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not the same as income before income taxes. </w:t>
      </w:r>
      <w:r>
        <w:rPr>
          <w:sz w:val="19"/>
          <w:szCs w:val="19"/>
        </w:rPr>
        <w:t xml:space="preserve">If a company simply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tax it paid, its tax expense would jump around when the rules timed items differently. </w:t>
      </w:r>
      <w:r>
        <w:rPr>
          <w:sz w:val="19"/>
          <w:szCs w:val="19"/>
        </w:rPr>
        <w:t xml:space="preserve">Interperiod tax allocation solves this. </w:t>
      </w:r>
      <w:r>
        <w:rPr>
          <w:sz w:val="19"/>
          <w:szCs w:val="19"/>
        </w:rPr>
        <w:t xml:space="preserve">The company recognizes the tax effects of transactions in the same periods as the transactions themselves, using deferred taxes.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reported   ·   government   ·   returns   ·   statements   ·   usually   ·   periods   ·   investors   ·   different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5186"/>
        <w:gridCol w:w="441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 income tax figures for 2025</w:t>
            </w:r>
          </w:p>
        </w:tc>
      </w:tr>
      <w:tr>
        <w:tc>
          <w:tcPr>
            <w:tcW w:type="pct" w:w="2701"/>
            <w:shd w:fill="353A7C" w:val="clear"/>
            <w:tcMar>
              <w:top w:type="dxa" w:w="50"/>
              <w:left w:type="dxa" w:w="110"/>
              <w:bottom w:type="dxa" w:w="50"/>
              <w:right w:type="dxa" w:w="110"/>
            </w:tcMar>
          </w:tcPr>
          <w:p>
            <w:pPr>
              <w:spacing w:before="30" w:after="30"/>
            </w:pPr>
            <w:r>
              <w:rPr>
                <w:b/>
                <w:bCs/>
                <w:color w:val="FFFFFF"/>
                <w:sz w:val="15"/>
                <w:szCs w:val="15"/>
              </w:rPr>
              <w:t xml:space="preserve">Orontes Foods Inc., 2025 (whole USD)</w:t>
            </w:r>
          </w:p>
        </w:tc>
        <w:tc>
          <w:tcPr>
            <w:tcW w:type="pct" w:w="2299"/>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701"/>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299"/>
            <w:tcMar>
              <w:top w:type="dxa" w:w="50"/>
              <w:left w:type="dxa" w:w="110"/>
              <w:bottom w:type="dxa" w:w="50"/>
              <w:right w:type="dxa" w:w="110"/>
            </w:tcMar>
          </w:tcPr>
          <w:p>
            <w:pPr>
              <w:spacing w:before="28" w:after="28"/>
            </w:pPr>
            <w:r>
              <w:rPr>
                <w:sz w:val="15"/>
                <w:szCs w:val="15"/>
              </w:rPr>
              <w:t xml:space="preserve">3,958,800</w:t>
            </w:r>
          </w:p>
        </w:tc>
      </w:tr>
      <w:tr>
        <w:tc>
          <w:tcPr>
            <w:tcW w:type="pct" w:w="2701"/>
            <w:shd w:fill="FBFAF6" w:val="clear"/>
            <w:tcMar>
              <w:top w:type="dxa" w:w="50"/>
              <w:left w:type="dxa" w:w="110"/>
              <w:bottom w:type="dxa" w:w="50"/>
              <w:right w:type="dxa" w:w="110"/>
            </w:tcMar>
          </w:tcPr>
          <w:p>
            <w:pPr>
              <w:spacing w:before="28" w:after="28"/>
            </w:pPr>
            <w:r>
              <w:rPr>
                <w:sz w:val="15"/>
                <w:szCs w:val="15"/>
              </w:rPr>
              <w:t xml:space="preserve">Income tax expense (25% combined federal and state rate)</w:t>
            </w:r>
          </w:p>
        </w:tc>
        <w:tc>
          <w:tcPr>
            <w:tcW w:type="pct" w:w="2299"/>
            <w:shd w:fill="FBFAF6" w:val="clear"/>
            <w:tcMar>
              <w:top w:type="dxa" w:w="50"/>
              <w:left w:type="dxa" w:w="110"/>
              <w:bottom w:type="dxa" w:w="50"/>
              <w:right w:type="dxa" w:w="110"/>
            </w:tcMar>
          </w:tcPr>
          <w:p>
            <w:pPr>
              <w:spacing w:before="28" w:after="28"/>
            </w:pPr>
            <w:r>
              <w:rPr>
                <w:sz w:val="15"/>
                <w:szCs w:val="15"/>
              </w:rPr>
              <w:t xml:space="preserve">989,700</w:t>
            </w:r>
          </w:p>
        </w:tc>
      </w:tr>
      <w:tr>
        <w:tc>
          <w:tcPr>
            <w:tcW w:type="pct" w:w="2701"/>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299"/>
            <w:tcMar>
              <w:top w:type="dxa" w:w="50"/>
              <w:left w:type="dxa" w:w="110"/>
              <w:bottom w:type="dxa" w:w="50"/>
              <w:right w:type="dxa" w:w="110"/>
            </w:tcMar>
          </w:tcPr>
          <w:p>
            <w:pPr>
              <w:spacing w:before="28" w:after="28"/>
            </w:pPr>
            <w:r>
              <w:rPr>
                <w:sz w:val="15"/>
                <w:szCs w:val="15"/>
              </w:rPr>
              <w:t xml:space="preserve">889,700</w:t>
            </w:r>
          </w:p>
        </w:tc>
      </w:tr>
      <w:tr>
        <w:tc>
          <w:tcPr>
            <w:tcW w:type="pct" w:w="2701"/>
            <w:shd w:fill="FBFAF6" w:val="clear"/>
            <w:tcMar>
              <w:top w:type="dxa" w:w="50"/>
              <w:left w:type="dxa" w:w="110"/>
              <w:bottom w:type="dxa" w:w="50"/>
              <w:right w:type="dxa" w:w="110"/>
            </w:tcMar>
          </w:tcPr>
          <w:p>
            <w:pPr>
              <w:spacing w:before="28" w:after="28"/>
            </w:pPr>
            <w:r>
              <w:rPr>
                <w:sz w:val="15"/>
                <w:szCs w:val="15"/>
              </w:rPr>
              <w:t xml:space="preserve">Deferred tax expense (25% of the 400,000 increase in net taxable temporary differences)</w:t>
            </w:r>
          </w:p>
        </w:tc>
        <w:tc>
          <w:tcPr>
            <w:tcW w:type="pct" w:w="2299"/>
            <w:shd w:fill="FBFAF6" w:val="clear"/>
            <w:tcMar>
              <w:top w:type="dxa" w:w="50"/>
              <w:left w:type="dxa" w:w="110"/>
              <w:bottom w:type="dxa" w:w="50"/>
              <w:right w:type="dxa" w:w="110"/>
            </w:tcMar>
          </w:tcPr>
          <w:p>
            <w:pPr>
              <w:spacing w:before="28" w:after="28"/>
            </w:pPr>
            <w:r>
              <w:rPr>
                <w:sz w:val="15"/>
                <w:szCs w:val="15"/>
              </w:rPr>
              <w:t xml:space="preserve">100,000</w:t>
            </w:r>
          </w:p>
        </w:tc>
      </w:tr>
      <w:tr>
        <w:tc>
          <w:tcPr>
            <w:tcW w:type="pct" w:w="2701"/>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99"/>
            <w:tcMar>
              <w:top w:type="dxa" w:w="50"/>
              <w:left w:type="dxa" w:w="110"/>
              <w:bottom w:type="dxa" w:w="50"/>
              <w:right w:type="dxa" w:w="110"/>
            </w:tcMar>
          </w:tcPr>
          <w:p>
            <w:pPr>
              <w:spacing w:before="28" w:after="28"/>
            </w:pPr>
            <w:r>
              <w:rPr>
                <w:sz w:val="15"/>
                <w:szCs w:val="15"/>
              </w:rPr>
              <w:t xml:space="preserve">839,700</w:t>
            </w:r>
          </w:p>
        </w:tc>
      </w:tr>
      <w:tr>
        <w:tc>
          <w:tcPr>
            <w:tcW w:type="pct" w:w="2701"/>
            <w:shd w:fill="FBFAF6" w:val="clear"/>
            <w:tcMar>
              <w:top w:type="dxa" w:w="50"/>
              <w:left w:type="dxa" w:w="110"/>
              <w:bottom w:type="dxa" w:w="50"/>
              <w:right w:type="dxa" w:w="110"/>
            </w:tcMar>
          </w:tcPr>
          <w:p>
            <w:pPr>
              <w:spacing w:before="28" w:after="28"/>
            </w:pPr>
            <w:r>
              <w:rPr>
                <w:sz w:val="15"/>
                <w:szCs w:val="15"/>
              </w:rPr>
              <w:t xml:space="preserve">Deferred tax liability, January 1, 2025</w:t>
            </w:r>
          </w:p>
        </w:tc>
        <w:tc>
          <w:tcPr>
            <w:tcW w:type="pct" w:w="2299"/>
            <w:shd w:fill="FBFAF6" w:val="clear"/>
            <w:tcMar>
              <w:top w:type="dxa" w:w="50"/>
              <w:left w:type="dxa" w:w="110"/>
              <w:bottom w:type="dxa" w:w="50"/>
              <w:right w:type="dxa" w:w="110"/>
            </w:tcMar>
          </w:tcPr>
          <w:p>
            <w:pPr>
              <w:spacing w:before="28" w:after="28"/>
            </w:pPr>
            <w:r>
              <w:rPr>
                <w:sz w:val="15"/>
                <w:szCs w:val="15"/>
              </w:rPr>
              <w:t xml:space="preserve">900,000</w:t>
            </w:r>
          </w:p>
        </w:tc>
      </w:tr>
      <w:tr>
        <w:tc>
          <w:tcPr>
            <w:tcW w:type="pct" w:w="2701"/>
            <w:tcMar>
              <w:top w:type="dxa" w:w="50"/>
              <w:left w:type="dxa" w:w="110"/>
              <w:bottom w:type="dxa" w:w="50"/>
              <w:right w:type="dxa" w:w="110"/>
            </w:tcMar>
          </w:tcPr>
          <w:p>
            <w:pPr>
              <w:spacing w:before="28" w:after="28"/>
            </w:pPr>
            <w:r>
              <w:rPr>
                <w:sz w:val="15"/>
                <w:szCs w:val="15"/>
              </w:rPr>
              <w:t xml:space="preserve">Deferred tax liability, December 31, 2025 (after the 375 tax effect of the OCI loss)</w:t>
            </w:r>
          </w:p>
        </w:tc>
        <w:tc>
          <w:tcPr>
            <w:tcW w:type="pct" w:w="2299"/>
            <w:tcMar>
              <w:top w:type="dxa" w:w="50"/>
              <w:left w:type="dxa" w:w="110"/>
              <w:bottom w:type="dxa" w:w="50"/>
              <w:right w:type="dxa" w:w="110"/>
            </w:tcMar>
          </w:tcPr>
          <w:p>
            <w:pPr>
              <w:spacing w:before="28" w:after="28"/>
            </w:pPr>
            <w:r>
              <w:rPr>
                <w:sz w:val="15"/>
                <w:szCs w:val="15"/>
              </w:rPr>
              <w:t xml:space="preserve">999,625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taxes paid in cash (Chapter 5)   ·   Income before income taxes   ·   Current tax expense (taxes on 2025 taxable income)   ·   Deferred tax liability, January 1, 2025</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deferred tax asset   ·   deferred tax expense   ·   current tax expense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45"/>
        <w:gridCol w:w="475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4"/>
            <w:tcMar>
              <w:top w:type="dxa" w:w="50"/>
              <w:left w:type="dxa" w:w="110"/>
              <w:bottom w:type="dxa" w:w="50"/>
              <w:right w:type="dxa" w:w="110"/>
            </w:tcMar>
          </w:tcPr>
          <w:p>
            <w:pPr>
              <w:spacing w:before="26" w:after="26"/>
            </w:pPr>
            <w:r>
              <w:rPr>
                <w:color w:val="232733"/>
                <w:sz w:val="16"/>
                <w:szCs w:val="16"/>
              </w:rPr>
              <w:t xml:space="preserve">taxable income</w:t>
            </w:r>
          </w:p>
        </w:tc>
        <w:tc>
          <w:tcPr>
            <w:tcW w:type="pct" w:w="2476"/>
            <w:tcMar>
              <w:top w:type="dxa" w:w="50"/>
              <w:left w:type="dxa" w:w="110"/>
              <w:bottom w:type="dxa" w:w="50"/>
              <w:right w:type="dxa" w:w="110"/>
            </w:tcMar>
          </w:tcPr>
          <w:p>
            <w:pPr>
              <w:spacing w:before="26" w:after="26"/>
            </w:pPr>
            <w:r>
              <w:rPr>
                <w:color w:val="232733"/>
                <w:sz w:val="16"/>
                <w:szCs w:val="16"/>
              </w:rPr>
              <w:t xml:space="preserve">الدخل الخاضع للضريبة</w:t>
            </w:r>
          </w:p>
        </w:tc>
      </w:tr>
      <w:tr>
        <w:tc>
          <w:tcPr>
            <w:tcW w:type="pct" w:w="2524"/>
            <w:shd w:fill="FBFAF6" w:val="clear"/>
            <w:tcMar>
              <w:top w:type="dxa" w:w="50"/>
              <w:left w:type="dxa" w:w="110"/>
              <w:bottom w:type="dxa" w:w="50"/>
              <w:right w:type="dxa" w:w="110"/>
            </w:tcMar>
          </w:tcPr>
          <w:p>
            <w:pPr>
              <w:spacing w:before="26" w:after="26"/>
            </w:pPr>
            <w:r>
              <w:rPr>
                <w:color w:val="232733"/>
                <w:sz w:val="16"/>
                <w:szCs w:val="16"/>
              </w:rPr>
              <w:t xml:space="preserve">interperiod tax allocation</w:t>
            </w:r>
          </w:p>
        </w:tc>
        <w:tc>
          <w:tcPr>
            <w:tcW w:type="pct" w:w="2476"/>
            <w:shd w:fill="FBFAF6" w:val="clear"/>
            <w:tcMar>
              <w:top w:type="dxa" w:w="50"/>
              <w:left w:type="dxa" w:w="110"/>
              <w:bottom w:type="dxa" w:w="50"/>
              <w:right w:type="dxa" w:w="110"/>
            </w:tcMar>
          </w:tcPr>
          <w:p>
            <w:pPr>
              <w:spacing w:before="26" w:after="26"/>
            </w:pPr>
            <w:r>
              <w:rPr>
                <w:color w:val="232733"/>
                <w:sz w:val="16"/>
                <w:szCs w:val="16"/>
              </w:rPr>
              <w:t xml:space="preserve">توزيع الضريبة بين الفترات</w:t>
            </w:r>
          </w:p>
        </w:tc>
      </w:tr>
      <w:tr>
        <w:tc>
          <w:tcPr>
            <w:tcW w:type="pct" w:w="2524"/>
            <w:tcMar>
              <w:top w:type="dxa" w:w="50"/>
              <w:left w:type="dxa" w:w="110"/>
              <w:bottom w:type="dxa" w:w="50"/>
              <w:right w:type="dxa" w:w="110"/>
            </w:tcMar>
          </w:tcPr>
          <w:p>
            <w:pPr>
              <w:spacing w:before="26" w:after="26"/>
            </w:pPr>
            <w:r>
              <w:rPr>
                <w:color w:val="232733"/>
                <w:sz w:val="16"/>
                <w:szCs w:val="16"/>
              </w:rPr>
              <w:t xml:space="preserve">current tax expense</w:t>
            </w:r>
          </w:p>
        </w:tc>
        <w:tc>
          <w:tcPr>
            <w:tcW w:type="pct" w:w="2476"/>
            <w:tcMar>
              <w:top w:type="dxa" w:w="50"/>
              <w:left w:type="dxa" w:w="110"/>
              <w:bottom w:type="dxa" w:w="50"/>
              <w:right w:type="dxa" w:w="110"/>
            </w:tcMar>
          </w:tcPr>
          <w:p>
            <w:pPr>
              <w:spacing w:before="26" w:after="26"/>
            </w:pPr>
            <w:r>
              <w:rPr>
                <w:color w:val="232733"/>
                <w:sz w:val="16"/>
                <w:szCs w:val="16"/>
              </w:rPr>
              <w:t xml:space="preserve">مصروف الضريبة الجارية</w:t>
            </w:r>
          </w:p>
        </w:tc>
      </w:tr>
      <w:tr>
        <w:tc>
          <w:tcPr>
            <w:tcW w:type="pct" w:w="2524"/>
            <w:shd w:fill="FBFAF6" w:val="clear"/>
            <w:tcMar>
              <w:top w:type="dxa" w:w="50"/>
              <w:left w:type="dxa" w:w="110"/>
              <w:bottom w:type="dxa" w:w="50"/>
              <w:right w:type="dxa" w:w="110"/>
            </w:tcMar>
          </w:tcPr>
          <w:p>
            <w:pPr>
              <w:spacing w:before="26" w:after="26"/>
            </w:pPr>
            <w:r>
              <w:rPr>
                <w:color w:val="232733"/>
                <w:sz w:val="16"/>
                <w:szCs w:val="16"/>
              </w:rPr>
              <w:t xml:space="preserve">deferred tax expense</w:t>
            </w:r>
          </w:p>
        </w:tc>
        <w:tc>
          <w:tcPr>
            <w:tcW w:type="pct" w:w="2476"/>
            <w:shd w:fill="FBFAF6" w:val="clear"/>
            <w:tcMar>
              <w:top w:type="dxa" w:w="50"/>
              <w:left w:type="dxa" w:w="110"/>
              <w:bottom w:type="dxa" w:w="50"/>
              <w:right w:type="dxa" w:w="110"/>
            </w:tcMar>
          </w:tcPr>
          <w:p>
            <w:pPr>
              <w:spacing w:before="26" w:after="26"/>
            </w:pPr>
            <w:r>
              <w:rPr>
                <w:color w:val="232733"/>
                <w:sz w:val="16"/>
                <w:szCs w:val="16"/>
              </w:rPr>
              <w:t xml:space="preserve">مصروف الضريبة المؤجلة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13.1  Why book income and taxable income differ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Temporary and permanent 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usually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Rate changes, valuation allowances, losses and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reported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Income before income taxes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investors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Current tax expense (taxes on 2025 taxable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returns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Income taxes paid in cash (Chapter 5)</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government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current tax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deferred tax expense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Financial statements follow U.S. GAAP and are prepared for investors. Tax returns follow tax law and are prepared for the government. The two sets of rules have different goals, so taxable income is usually not the same as income before income taxes. If a company simply reported the tax it paid, its tax expense would jump around when the rules timed items differently. Interperiod tax allocation solves this. The company recognizes the tax effects of transactions in the same periods as the transactions themselves, using deferred taxes.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13.2  Temporary and permanent differences</w:t>
            </w:r>
          </w:p>
          <w:p>
            <w:pPr>
              <w:spacing w:before="0" w:after="46"/>
            </w:pPr>
            <w:r>
              <w:rPr>
                <w:color w:val="E8EAF6"/>
                <w:sz w:val="16"/>
                <w:szCs w:val="16"/>
              </w:rPr>
              <w:t xml:space="preserve">Chapter 13 · section 13.2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A temporary difference arises when the tax basis of an asset or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differs from its carrying amount on the balance sheet. </w:t>
      </w:r>
      <w:r>
        <w:rPr>
          <w:sz w:val="19"/>
          <w:szCs w:val="19"/>
        </w:rPr>
        <w:t xml:space="preserve">It reverses in later years. </w:t>
      </w:r>
      <w:r>
        <w:rPr>
          <w:sz w:val="19"/>
          <w:szCs w:val="19"/>
        </w:rPr>
        <w:t xml:space="preserve">A taxable temporary difference will increase future taxable income;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temporary difference will reduce it. </w:t>
      </w:r>
      <w:r>
        <w:rPr>
          <w:sz w:val="19"/>
          <w:szCs w:val="19"/>
        </w:rPr>
        <w:t xml:space="preserve">A permanent difference never reverses. </w:t>
      </w:r>
      <w:r>
        <w:rPr>
          <w:sz w:val="19"/>
          <w:szCs w:val="19"/>
        </w:rPr>
        <w:t xml:space="preserve">The item is in book income but never in taxable income, or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municipal bond interest and fines are common examples. </w:t>
      </w:r>
      <w:r>
        <w:rPr>
          <w:sz w:val="19"/>
          <w:szCs w:val="19"/>
        </w:rPr>
        <w:t xml:space="preserve">Permanent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create no deferred tax; they only change the effective tax rate.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increase   ·   deductible   ·   differences   ·   reverse   ·   Tax-exempt   ·   liability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755"/>
        <w:gridCol w:w="26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Common temporary and permanent differences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1435"/>
            <w:shd w:fill="353A7C" w:val="clear"/>
            <w:tcMar>
              <w:top w:type="dxa" w:w="50"/>
              <w:left w:type="dxa" w:w="110"/>
              <w:bottom w:type="dxa" w:w="50"/>
              <w:right w:type="dxa" w:w="110"/>
            </w:tcMar>
          </w:tcPr>
          <w:p>
            <w:pPr>
              <w:spacing w:before="30" w:after="30"/>
            </w:pPr>
            <w:r>
              <w:rPr>
                <w:b/>
                <w:bCs/>
                <w:color w:val="FFFFFF"/>
                <w:sz w:val="15"/>
                <w:szCs w:val="15"/>
              </w:rPr>
              <w:t xml:space="preserve">Type of difference</w:t>
            </w:r>
          </w:p>
        </w:tc>
        <w:tc>
          <w:tcPr>
            <w:tcW w:type="pct" w:w="1365"/>
            <w:shd w:fill="353A7C" w:val="clear"/>
            <w:tcMar>
              <w:top w:type="dxa" w:w="50"/>
              <w:left w:type="dxa" w:w="110"/>
              <w:bottom w:type="dxa" w:w="50"/>
              <w:right w:type="dxa" w:w="110"/>
            </w:tcMar>
          </w:tcPr>
          <w:p>
            <w:pPr>
              <w:spacing w:before="30" w:after="30"/>
            </w:pPr>
            <w:r>
              <w:rPr>
                <w:b/>
                <w:bCs/>
                <w:color w:val="FFFFFF"/>
                <w:sz w:val="15"/>
                <w:szCs w:val="15"/>
              </w:rPr>
              <w:t xml:space="preserve">Creates</w:t>
            </w:r>
          </w:p>
        </w:tc>
      </w:tr>
      <w:tr>
        <w:tc>
          <w:tcPr>
            <w:tcW w:type="pct" w:w="2200"/>
            <w:tcMar>
              <w:top w:type="dxa" w:w="50"/>
              <w:left w:type="dxa" w:w="110"/>
              <w:bottom w:type="dxa" w:w="50"/>
              <w:right w:type="dxa" w:w="110"/>
            </w:tcMar>
          </w:tcPr>
          <w:p>
            <w:pPr>
              <w:spacing w:before="28" w:after="28"/>
            </w:pPr>
            <w:r>
              <w:rPr>
                <w:sz w:val="15"/>
                <w:szCs w:val="15"/>
              </w:rPr>
              <w:t xml:space="preserve">Tax depreciation faster than book (bonus, MACRS)</w:t>
            </w:r>
          </w:p>
        </w:tc>
        <w:tc>
          <w:tcPr>
            <w:tcW w:type="pct" w:w="1435"/>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365"/>
            <w:tcMar>
              <w:top w:type="dxa" w:w="50"/>
              <w:left w:type="dxa" w:w="110"/>
              <w:bottom w:type="dxa" w:w="50"/>
              <w:right w:type="dxa" w:w="110"/>
            </w:tcMar>
          </w:tcPr>
          <w:p>
            <w:pPr>
              <w:spacing w:before="28" w:after="28"/>
            </w:pPr>
            <w:r>
              <w:rPr>
                <w:sz w:val="15"/>
                <w:szCs w:val="15"/>
              </w:rPr>
              <w:t xml:space="preserve">Deferred tax liability</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Installment sale: revenue now, taxed when cash is collected</w:t>
            </w:r>
          </w:p>
        </w:tc>
        <w:tc>
          <w:tcPr>
            <w:tcW w:type="pct" w:w="1435"/>
            <w:shd w:fill="FBFAF6" w:val="clear"/>
            <w:tcMar>
              <w:top w:type="dxa" w:w="50"/>
              <w:left w:type="dxa" w:w="110"/>
              <w:bottom w:type="dxa" w:w="50"/>
              <w:right w:type="dxa" w:w="110"/>
            </w:tcMar>
          </w:tcPr>
          <w:p>
            <w:pPr>
              <w:spacing w:before="28" w:after="28"/>
            </w:pPr>
            <w:r>
              <w:rPr>
                <w:sz w:val="15"/>
                <w:szCs w:val="15"/>
              </w:rPr>
              <w:t xml:space="preserve">Temporary, taxable</w:t>
            </w:r>
          </w:p>
        </w:tc>
        <w:tc>
          <w:tcPr>
            <w:tcW w:type="pct" w:w="1365"/>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200"/>
            <w:tcMar>
              <w:top w:type="dxa" w:w="50"/>
              <w:left w:type="dxa" w:w="110"/>
              <w:bottom w:type="dxa" w:w="50"/>
              <w:right w:type="dxa" w:w="110"/>
            </w:tcMar>
          </w:tcPr>
          <w:p>
            <w:pPr>
              <w:spacing w:before="28" w:after="28"/>
            </w:pPr>
            <w:r>
              <w:rPr>
                <w:sz w:val="15"/>
                <w:szCs w:val="15"/>
              </w:rPr>
              <w:t xml:space="preserve">Warranty or litigation accrual, deductible when paid</w:t>
            </w:r>
          </w:p>
        </w:tc>
        <w:tc>
          <w:tcPr>
            <w:tcW w:type="pct" w:w="1435"/>
            <w:tcMar>
              <w:top w:type="dxa" w:w="50"/>
              <w:left w:type="dxa" w:w="110"/>
              <w:bottom w:type="dxa" w:w="50"/>
              <w:right w:type="dxa" w:w="110"/>
            </w:tcMar>
          </w:tcPr>
          <w:p>
            <w:pPr>
              <w:spacing w:before="28" w:after="28"/>
            </w:pPr>
            <w:r>
              <w:rPr>
                <w:sz w:val="15"/>
                <w:szCs w:val="15"/>
              </w:rPr>
              <w:t xml:space="preserve">Temporary, deductible</w:t>
            </w:r>
          </w:p>
        </w:tc>
        <w:tc>
          <w:tcPr>
            <w:tcW w:type="pct" w:w="1365"/>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Rent received in advance, taxed when received</w:t>
            </w:r>
          </w:p>
        </w:tc>
        <w:tc>
          <w:tcPr>
            <w:tcW w:type="pct" w:w="1435"/>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365"/>
            <w:shd w:fill="FBFAF6" w:val="clear"/>
            <w:tcMar>
              <w:top w:type="dxa" w:w="50"/>
              <w:left w:type="dxa" w:w="110"/>
              <w:bottom w:type="dxa" w:w="50"/>
              <w:right w:type="dxa" w:w="110"/>
            </w:tcMar>
          </w:tcPr>
          <w:p>
            <w:pPr>
              <w:spacing w:before="28" w:after="28"/>
            </w:pPr>
            <w:r>
              <w:rPr>
                <w:sz w:val="15"/>
                <w:szCs w:val="15"/>
              </w:rPr>
              <w:t xml:space="preserve">Deferred tax asset</w:t>
            </w:r>
          </w:p>
        </w:tc>
      </w:tr>
      <w:tr>
        <w:tc>
          <w:tcPr>
            <w:tcW w:type="pct" w:w="2200"/>
            <w:tcMar>
              <w:top w:type="dxa" w:w="50"/>
              <w:left w:type="dxa" w:w="110"/>
              <w:bottom w:type="dxa" w:w="50"/>
              <w:right w:type="dxa" w:w="110"/>
            </w:tcMar>
          </w:tcPr>
          <w:p>
            <w:pPr>
              <w:spacing w:before="28" w:after="28"/>
            </w:pPr>
            <w:r>
              <w:rPr>
                <w:sz w:val="15"/>
                <w:szCs w:val="15"/>
              </w:rPr>
              <w:t xml:space="preserve">Tax-exempt municipal bond interest</w:t>
            </w:r>
          </w:p>
        </w:tc>
        <w:tc>
          <w:tcPr>
            <w:tcW w:type="pct" w:w="1435"/>
            <w:tcMar>
              <w:top w:type="dxa" w:w="50"/>
              <w:left w:type="dxa" w:w="110"/>
              <w:bottom w:type="dxa" w:w="50"/>
              <w:right w:type="dxa" w:w="110"/>
            </w:tcMar>
          </w:tcPr>
          <w:p>
            <w:pPr>
              <w:spacing w:before="28" w:after="28"/>
            </w:pPr>
            <w:r>
              <w:rPr>
                <w:sz w:val="15"/>
                <w:szCs w:val="15"/>
              </w:rPr>
              <w:t xml:space="preserve">Permanent</w:t>
            </w:r>
          </w:p>
        </w:tc>
        <w:tc>
          <w:tcPr>
            <w:tcW w:type="pct" w:w="1365"/>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Fines and penalties</w:t>
            </w:r>
          </w:p>
        </w:tc>
        <w:tc>
          <w:tcPr>
            <w:tcW w:type="pct" w:w="1435"/>
            <w:shd w:fill="FBFAF6" w:val="clear"/>
            <w:tcMar>
              <w:top w:type="dxa" w:w="50"/>
              <w:left w:type="dxa" w:w="110"/>
              <w:bottom w:type="dxa" w:w="50"/>
              <w:right w:type="dxa" w:w="110"/>
            </w:tcMar>
          </w:tcPr>
          <w:p>
            <w:pPr>
              <w:spacing w:before="28" w:after="28"/>
            </w:pPr>
            <w:r>
              <w:rPr>
                <w:sz w:val="15"/>
                <w:szCs w:val="15"/>
              </w:rPr>
              <w:t xml:space="preserve">Permanent</w:t>
            </w:r>
          </w:p>
        </w:tc>
        <w:tc>
          <w:tcPr>
            <w:tcW w:type="pct" w:w="1365"/>
            <w:shd w:fill="FBFAF6" w:val="clear"/>
            <w:tcMar>
              <w:top w:type="dxa" w:w="50"/>
              <w:left w:type="dxa" w:w="110"/>
              <w:bottom w:type="dxa" w:w="50"/>
              <w:right w:type="dxa" w:w="110"/>
            </w:tcMar>
          </w:tcPr>
          <w:p>
            <w:pPr>
              <w:spacing w:before="28" w:after="28"/>
            </w:pPr>
            <w:r>
              <w:rPr>
                <w:sz w:val="15"/>
                <w:szCs w:val="15"/>
              </w:rPr>
              <w:t xml:space="preserve">None</w:t>
            </w:r>
          </w:p>
        </w:tc>
      </w:tr>
      <w:tr>
        <w:tc>
          <w:tcPr>
            <w:tcW w:type="pct" w:w="2200"/>
            <w:tcMar>
              <w:top w:type="dxa" w:w="50"/>
              <w:left w:type="dxa" w:w="110"/>
              <w:bottom w:type="dxa" w:w="50"/>
              <w:right w:type="dxa" w:w="110"/>
            </w:tcMar>
          </w:tcPr>
          <w:p>
            <w:pPr>
              <w:spacing w:before="28" w:after="28"/>
            </w:pPr>
            <w:r>
              <w:rPr>
                <w:sz w:val="15"/>
                <w:szCs w:val="15"/>
              </w:rPr>
              <w:t xml:space="preserve">Life insurance premiums when the company is the beneficiary</w:t>
            </w:r>
          </w:p>
        </w:tc>
        <w:tc>
          <w:tcPr>
            <w:tcW w:type="pct" w:w="1435"/>
            <w:tcMar>
              <w:top w:type="dxa" w:w="50"/>
              <w:left w:type="dxa" w:w="110"/>
              <w:bottom w:type="dxa" w:w="50"/>
              <w:right w:type="dxa" w:w="110"/>
            </w:tcMar>
          </w:tcPr>
          <w:p>
            <w:pPr>
              <w:spacing w:before="28" w:after="28"/>
            </w:pPr>
            <w:r>
              <w:rPr>
                <w:sz w:val="15"/>
                <w:szCs w:val="15"/>
              </w:rPr>
              <w:t xml:space="preserve">Permanent</w:t>
            </w:r>
          </w:p>
        </w:tc>
        <w:tc>
          <w:tcPr>
            <w:tcW w:type="pct" w:w="1365"/>
            <w:tcMar>
              <w:top w:type="dxa" w:w="50"/>
              <w:left w:type="dxa" w:w="110"/>
              <w:bottom w:type="dxa" w:w="50"/>
              <w:right w:type="dxa" w:w="110"/>
            </w:tcMar>
          </w:tcPr>
          <w:p>
            <w:pPr>
              <w:spacing w:before="28" w:after="28"/>
            </w:pPr>
            <w:r>
              <w:rPr>
                <w:sz w:val="15"/>
                <w:szCs w:val="15"/>
              </w:rPr>
              <w:t xml:space="preserve">None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None   ·   Deferred tax liability   ·   enacted tax rate   ·   Deferred tax asset   ·   Temporary, deductible   ·   Temporary, taxable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Which way does it go?</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Tax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faster than book: less tax now, more later: deferred tax liability. </w:t>
      </w:r>
      <w:r>
        <w:rPr>
          <w:sz w:val="19"/>
          <w:szCs w:val="19"/>
        </w:rPr>
        <w:t xml:space="preserve">Warranty accrued now,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when paid: more tax now, less later: deferred tax asset. </w:t>
      </w:r>
      <w:r>
        <w:rPr>
          <w:sz w:val="19"/>
          <w:szCs w:val="19"/>
        </w:rPr>
        <w:t xml:space="preserve">Fines and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interest: permanent, no deferred tax.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deferred   ·   depreciation   ·   deductible   ·   municipal</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taxable income   ·   tax basis   ·   deductible temporary difference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temporary difference</w:t>
            </w:r>
          </w:p>
        </w:tc>
        <w:tc>
          <w:tcPr>
            <w:tcW w:type="pct" w:w="2400"/>
            <w:tcMar>
              <w:top w:type="dxa" w:w="50"/>
              <w:left w:type="dxa" w:w="110"/>
              <w:bottom w:type="dxa" w:w="50"/>
              <w:right w:type="dxa" w:w="110"/>
            </w:tcMar>
          </w:tcPr>
          <w:p>
            <w:pPr>
              <w:spacing w:before="26" w:after="26"/>
            </w:pPr>
            <w:r>
              <w:rPr>
                <w:color w:val="232733"/>
                <w:sz w:val="16"/>
                <w:szCs w:val="16"/>
              </w:rPr>
              <w:t xml:space="preserve">فرق مؤقت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taxable temporary difference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فرق مؤقت خاضع للضريبة</w:t>
            </w:r>
          </w:p>
        </w:tc>
      </w:tr>
      <w:tr>
        <w:tc>
          <w:tcPr>
            <w:tcW w:type="pct" w:w="2600"/>
            <w:tcMar>
              <w:top w:type="dxa" w:w="50"/>
              <w:left w:type="dxa" w:w="110"/>
              <w:bottom w:type="dxa" w:w="50"/>
              <w:right w:type="dxa" w:w="110"/>
            </w:tcMar>
          </w:tcPr>
          <w:p>
            <w:pPr>
              <w:spacing w:before="26" w:after="26"/>
            </w:pPr>
            <w:r>
              <w:rPr>
                <w:color w:val="232733"/>
                <w:sz w:val="16"/>
                <w:szCs w:val="16"/>
              </w:rPr>
              <w:t xml:space="preserve">deductible temporary difference</w:t>
            </w:r>
          </w:p>
        </w:tc>
        <w:tc>
          <w:tcPr>
            <w:tcW w:type="pct" w:w="2400"/>
            <w:tcMar>
              <w:top w:type="dxa" w:w="50"/>
              <w:left w:type="dxa" w:w="110"/>
              <w:bottom w:type="dxa" w:w="50"/>
              <w:right w:type="dxa" w:w="110"/>
            </w:tcMar>
          </w:tcPr>
          <w:p>
            <w:pPr>
              <w:spacing w:before="26" w:after="26"/>
            </w:pPr>
            <w:r>
              <w:rPr>
                <w:color w:val="232733"/>
                <w:sz w:val="16"/>
                <w:szCs w:val="16"/>
              </w:rPr>
              <w:t xml:space="preserve">فرق مؤقت قابل للخصم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permanent difference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فرق دائم</w:t>
            </w:r>
          </w:p>
        </w:tc>
      </w:tr>
      <w:tr>
        <w:tc>
          <w:tcPr>
            <w:tcW w:type="pct" w:w="2600"/>
            <w:tcMar>
              <w:top w:type="dxa" w:w="50"/>
              <w:left w:type="dxa" w:w="110"/>
              <w:bottom w:type="dxa" w:w="50"/>
              <w:right w:type="dxa" w:w="110"/>
            </w:tcMar>
          </w:tcPr>
          <w:p>
            <w:pPr>
              <w:spacing w:before="26" w:after="26"/>
            </w:pPr>
            <w:r>
              <w:rPr>
                <w:color w:val="232733"/>
                <w:sz w:val="16"/>
                <w:szCs w:val="16"/>
              </w:rPr>
              <w:t xml:space="preserve">tax basis</w:t>
            </w:r>
          </w:p>
        </w:tc>
        <w:tc>
          <w:tcPr>
            <w:tcW w:type="pct" w:w="2400"/>
            <w:tcMar>
              <w:top w:type="dxa" w:w="50"/>
              <w:left w:type="dxa" w:w="110"/>
              <w:bottom w:type="dxa" w:w="50"/>
              <w:right w:type="dxa" w:w="110"/>
            </w:tcMar>
          </w:tcPr>
          <w:p>
            <w:pPr>
              <w:spacing w:before="26" w:after="26"/>
            </w:pPr>
            <w:r>
              <w:rPr>
                <w:color w:val="232733"/>
                <w:sz w:val="16"/>
                <w:szCs w:val="16"/>
              </w:rPr>
              <w:t xml:space="preserve">الأساس الضريبي</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13.2  Temporary and permanent differences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Temporary, deductible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deductible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None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reverse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Tax-exempt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deductible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municipal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Temporary, taxable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deductible temporary 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Deferred tax liability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tax basis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Deferred tax asset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temporary difference arises when the tax basis of an asset or liability differs from its carrying amount on the balance sheet. It reverses in later years. A taxable temporary difference will increase future taxable income; a deductible temporary difference will reduce it. A permanent difference never reverses. The item is in book income but never in taxable income, or the reverse. Tax-exempt municipal bond interest and fines are common examples. Permanent differences create no deferred tax; they only change the effective tax rate.</w:t>
      </w:r>
    </w:p>
    <w:p>
      <w:pPr>
        <w:spacing w:before="20" w:after="20"/>
        <w:ind w:left="240" w:hanging="240"/>
      </w:pPr>
      <w:r>
        <w:rPr>
          <w:b/>
          <w:bCs/>
          <w:color w:val="353A7C"/>
          <w:sz w:val="15"/>
          <w:szCs w:val="15"/>
        </w:rPr>
        <w:t xml:space="preserve">Summary 2   </w:t>
      </w:r>
      <w:r>
        <w:rPr>
          <w:color w:val="6B7280"/>
          <w:sz w:val="15"/>
          <w:szCs w:val="15"/>
        </w:rPr>
        <w:t xml:space="preserve">Tax depreciation faster than book: less tax now, more later: deferred tax liability. Warranty accrued now, deductible when paid: more tax now, less later: deferred tax asset. Fines and municipal interest: permanent, no deferred tax.</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13.3  Measuring current and deferred taxes</w:t>
            </w:r>
          </w:p>
          <w:p>
            <w:pPr>
              <w:spacing w:before="0" w:after="46"/>
            </w:pPr>
            <w:r>
              <w:rPr>
                <w:color w:val="E8EAF6"/>
                <w:sz w:val="16"/>
                <w:szCs w:val="16"/>
              </w:rPr>
              <w:t xml:space="preserve">Chapter 13 · section 13.3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U.S. GAAP uses the balance sheet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tax is taxable income times the tax rate. </w:t>
      </w:r>
      <w:r>
        <w:rPr>
          <w:sz w:val="19"/>
          <w:szCs w:val="19"/>
        </w:rPr>
        <w:t xml:space="preserve">Deferred tax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assets are the temporary differences times the enacted tax rate that will apply when they reverse. </w:t>
      </w:r>
      <w:r>
        <w:rPr>
          <w:sz w:val="19"/>
          <w:szCs w:val="19"/>
        </w:rPr>
        <w:t xml:space="preserve">Deferred tax expense is the change in the net deferred tax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during the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liabilities   ·   liability   ·   approach   ·   because   ·   Current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Orontes's 2026 income tax</w:t>
            </w:r>
          </w:p>
        </w:tc>
      </w:tr>
    </w:tbl>
    <w:p/>
    <w:p>
      <w:pPr>
        <w:spacing w:before="44" w:after="14"/>
      </w:pPr>
      <w:r>
        <w:rPr>
          <w:b/>
          <w:bCs/>
          <w:color w:val="353A7C"/>
          <w:sz w:val="18"/>
          <w:szCs w:val="18"/>
        </w:rPr>
        <w:t xml:space="preserve">Summary 2</w:t>
      </w:r>
      <w:r>
        <w:rPr>
          <w:color w:val="6B7280"/>
          <w:sz w:val="16"/>
          <w:szCs w:val="16"/>
        </w:rPr>
        <w:t xml:space="preserve">      gaps 5–11</w:t>
      </w:r>
    </w:p>
    <w:p>
      <w:pPr>
        <w:spacing w:before="20" w:after="20" w:line="360" w:lineRule="auto"/>
        <w:ind w:left="200"/>
      </w:pPr>
      <w:r>
        <w:rPr>
          <w:sz w:val="19"/>
          <w:szCs w:val="19"/>
        </w:rPr>
        <w:t xml:space="preserve">Suppose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earns $2,000,000 before tax in 2026. </w:t>
      </w:r>
      <w:r>
        <w:rPr>
          <w:sz w:val="19"/>
          <w:szCs w:val="19"/>
        </w:rPr>
        <w:t xml:space="preserve">It removes the permanent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municipal interest of $20,000 and a fine of $10,000. </w:t>
      </w:r>
      <w:r>
        <w:rPr>
          <w:sz w:val="19"/>
          <w:szCs w:val="19"/>
        </w:rPr>
        <w:t xml:space="preserve">New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costs $900,000. </w:t>
      </w:r>
      <w:r>
        <w:rPr>
          <w:sz w:val="19"/>
          <w:szCs w:val="19"/>
        </w:rPr>
        <w:t xml:space="preserve">Tax law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100% bonus depreciation, but book depreciation is $300,000. </w:t>
      </w:r>
      <w:r>
        <w:rPr>
          <w:sz w:val="19"/>
          <w:szCs w:val="19"/>
        </w:rPr>
        <w:t xml:space="preserve">The difference of $600,000 reduces taxable income now: a taxable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difference.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warranty from,000, but only $22,000 of repairs were paid. </w:t>
      </w:r>
      <w:r>
        <w:rPr>
          <w:sz w:val="19"/>
          <w:szCs w:val="19"/>
        </w:rPr>
        <w:t xml:space="preserve">The $38,000 not yet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increases taxable income now. </w:t>
      </w:r>
      <w:r>
        <w:rPr>
          <w:sz w:val="19"/>
          <w:szCs w:val="19"/>
        </w:rPr>
        <w:t xml:space="preserve">Taxable income is $1,428,000, so current tax is $357,000.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dispenser   ·   permanent   ·   temporary   ·   equipment   ·   differences   ·   deductible   ·   allows   ·   Orontes</w:t>
            </w:r>
          </w:p>
        </w:tc>
      </w:tr>
    </w:tbl>
    <w:p/>
    <w:p>
      <w:pPr>
        <w:spacing w:before="44" w:after="10"/>
      </w:pPr>
      <w:r>
        <w:rPr>
          <w:b/>
          <w:bCs/>
          <w:color w:val="353A7C"/>
          <w:sz w:val="18"/>
          <w:szCs w:val="18"/>
        </w:rPr>
        <w:t xml:space="preserve">Suppose: Orontes's 2026 taxable income and current tax</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before income taxes (book)   ·   Current tax expense at 25%</w:t>
            </w:r>
          </w:p>
        </w:tc>
      </w:tr>
    </w:tbl>
    <w:p/>
    <w:p>
      <w:pPr>
        <w:spacing w:before="44" w:after="14"/>
      </w:pPr>
      <w:r>
        <w:rPr>
          <w:b/>
          <w:bCs/>
          <w:color w:val="353A7C"/>
          <w:sz w:val="18"/>
          <w:szCs w:val="18"/>
        </w:rPr>
        <w:t xml:space="preserve">Summary 3</w:t>
      </w:r>
      <w:r>
        <w:rPr>
          <w:color w:val="6B7280"/>
          <w:sz w:val="16"/>
          <w:szCs w:val="16"/>
        </w:rPr>
        <w:t xml:space="preserve">      gaps 13–16</w:t>
      </w:r>
    </w:p>
    <w:p>
      <w:pPr>
        <w:spacing w:before="20" w:after="20" w:line="360" w:lineRule="auto"/>
        <w:ind w:left="200"/>
      </w:pPr>
      <w:r>
        <w:rPr>
          <w:sz w:val="19"/>
          <w:szCs w:val="19"/>
        </w:rPr>
        <w:t xml:space="preserve">Deferred taxes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from the same differences. </w:t>
      </w:r>
      <w:r>
        <w:rPr>
          <w:sz w:val="19"/>
          <w:szCs w:val="19"/>
        </w:rPr>
        <w:t xml:space="preserve">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creates a deferred tax liability of $150,000, and the warranty a deferred tax asset of $9,500. </w:t>
      </w:r>
      <w:r>
        <w:rPr>
          <w:sz w:val="19"/>
          <w:szCs w:val="19"/>
        </w:rPr>
        <w:t xml:space="preserve">Deferred tax expense is $140,500, so total income tax expense is $497,500. </w:t>
      </w:r>
      <w:r>
        <w:rPr>
          <w:sz w:val="19"/>
          <w:szCs w:val="19"/>
        </w:rPr>
        <w:t xml:space="preserve">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tax rate is total tax expense divided by pretax income: 24.875%. </w:t>
      </w:r>
      <w:r>
        <w:rPr>
          <w:sz w:val="19"/>
          <w:szCs w:val="19"/>
        </w:rPr>
        <w:t xml:space="preserve">It differs from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25% only because of the permanent differences.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effective   ·   Orontes   ·   statutory   ·   equipment   ·   follow</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98"/>
        <w:gridCol w:w="2651"/>
        <w:gridCol w:w="265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Orontes's 2026 income tax expense and rate reconciliation</w:t>
            </w:r>
          </w:p>
        </w:tc>
      </w:tr>
      <w:tr>
        <w:tc>
          <w:tcPr>
            <w:tcW w:type="pct" w:w="2239"/>
            <w:shd w:fill="353A7C" w:val="clear"/>
            <w:tcMar>
              <w:top w:type="dxa" w:w="50"/>
              <w:left w:type="dxa" w:w="110"/>
              <w:bottom w:type="dxa" w:w="50"/>
              <w:right w:type="dxa" w:w="110"/>
            </w:tcMar>
          </w:tcPr>
          <w:p>
            <w:pPr>
              <w:spacing w:before="30" w:after="30"/>
            </w:pPr>
            <w:r>
              <w:rPr>
                <w:b/>
                <w:bCs/>
                <w:color w:val="FFFFFF"/>
                <w:sz w:val="15"/>
                <w:szCs w:val="15"/>
              </w:rPr>
              <w:t xml:space="preserve">Suppose: Orontes, 2026 (whole USD)</w:t>
            </w:r>
          </w:p>
        </w:tc>
        <w:tc>
          <w:tcPr>
            <w:tcW w:type="pct" w:w="1381"/>
            <w:shd w:fill="353A7C" w:val="clear"/>
            <w:tcMar>
              <w:top w:type="dxa" w:w="50"/>
              <w:left w:type="dxa" w:w="110"/>
              <w:bottom w:type="dxa" w:w="50"/>
              <w:right w:type="dxa" w:w="110"/>
            </w:tcMar>
          </w:tcPr>
          <w:p>
            <w:pPr>
              <w:spacing w:before="30" w:after="30"/>
            </w:pPr>
            <w:r>
              <w:rPr>
                <w:b/>
                <w:bCs/>
                <w:color w:val="FFFFFF"/>
                <w:sz w:val="15"/>
                <w:szCs w:val="15"/>
              </w:rPr>
              <w:t xml:space="preserve">Amount</w:t>
            </w:r>
          </w:p>
        </w:tc>
        <w:tc>
          <w:tcPr>
            <w:tcW w:type="pct" w:w="1381"/>
            <w:shd w:fill="353A7C" w:val="clear"/>
            <w:tcMar>
              <w:top w:type="dxa" w:w="50"/>
              <w:left w:type="dxa" w:w="110"/>
              <w:bottom w:type="dxa" w:w="50"/>
              <w:right w:type="dxa" w:w="110"/>
            </w:tcMar>
          </w:tcPr>
          <w:p>
            <w:pPr>
              <w:spacing w:before="30" w:after="30"/>
            </w:pPr>
            <w:r>
              <w:rPr>
                <w:b/>
                <w:bCs/>
                <w:color w:val="FFFFFF"/>
                <w:sz w:val="15"/>
                <w:szCs w:val="15"/>
              </w:rPr>
              <w:t xml:space="preserve">% of pretax income</w:t>
            </w:r>
          </w:p>
        </w:tc>
      </w:tr>
      <w:tr>
        <w:tc>
          <w:tcPr>
            <w:tcW w:type="pct" w:w="2239"/>
            <w:tcMar>
              <w:top w:type="dxa" w:w="50"/>
              <w:left w:type="dxa" w:w="110"/>
              <w:bottom w:type="dxa" w:w="50"/>
              <w:right w:type="dxa" w:w="110"/>
            </w:tcMar>
          </w:tcPr>
          <w:p>
            <w:pPr>
              <w:spacing w:before="28" w:after="28"/>
            </w:pPr>
            <w:r>
              <w:rPr>
                <w:sz w:val="15"/>
                <w:szCs w:val="15"/>
              </w:rPr>
              <w:t xml:space="preserve">Current tax expense</w:t>
            </w:r>
          </w:p>
        </w:tc>
        <w:tc>
          <w:tcPr>
            <w:tcW w:type="pct" w:w="1381"/>
            <w:tcMar>
              <w:top w:type="dxa" w:w="50"/>
              <w:left w:type="dxa" w:w="110"/>
              <w:bottom w:type="dxa" w:w="50"/>
              <w:right w:type="dxa" w:w="110"/>
            </w:tcMar>
          </w:tcPr>
          <w:p>
            <w:pPr>
              <w:spacing w:before="28" w:after="28"/>
            </w:pPr>
            <w:r>
              <w:rPr>
                <w:sz w:val="15"/>
                <w:szCs w:val="15"/>
              </w:rPr>
              <w:t xml:space="preserve">357,000</w:t>
            </w:r>
          </w:p>
        </w:tc>
        <w:tc>
          <w:tcPr>
            <w:tcW w:type="pct" w:w="1381"/>
            <w:tcMar>
              <w:top w:type="dxa" w:w="50"/>
              <w:left w:type="dxa" w:w="110"/>
              <w:bottom w:type="dxa" w:w="50"/>
              <w:right w:type="dxa" w:w="110"/>
            </w:tcMar>
          </w:tcPr>
          <w:p>
            <w:pPr>
              <w:spacing w:before="28" w:after="28"/>
            </w:pPr>
            <w:r>
              <w:rPr>
                <w:sz w:val="15"/>
                <w:szCs w:val="15"/>
              </w:rPr>
              <w:t xml:space="preserve"> </w:t>
            </w:r>
          </w:p>
        </w:tc>
      </w:tr>
      <w:tr>
        <w:tc>
          <w:tcPr>
            <w:tcW w:type="pct" w:w="2239"/>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(17) </w:t>
            </w:r>
            <w:r>
              <w:rPr>
                <w:u w:val="single"/>
                <w:sz w:val="15"/>
                <w:szCs w:val="15"/>
              </w:rPr>
              <w:t xml:space="preserve">              </w:t>
            </w:r>
            <w:r>
              <w:rPr>
                <w:sz w:val="15"/>
                <w:szCs w:val="15"/>
              </w:rPr>
              <w:t xml:space="preserve"> </w:t>
            </w:r>
            <w:r>
              <w:rPr>
                <w:sz w:val="15"/>
                <w:szCs w:val="15"/>
              </w:rPr>
              <w:t xml:space="preserve">: 25% × 600,000</w:t>
            </w:r>
          </w:p>
        </w:tc>
        <w:tc>
          <w:tcPr>
            <w:tcW w:type="pct" w:w="1381"/>
            <w:shd w:fill="FBFAF6" w:val="clear"/>
            <w:tcMar>
              <w:top w:type="dxa" w:w="50"/>
              <w:left w:type="dxa" w:w="110"/>
              <w:bottom w:type="dxa" w:w="50"/>
              <w:right w:type="dxa" w:w="110"/>
            </w:tcMar>
          </w:tcPr>
          <w:p>
            <w:pPr>
              <w:spacing w:before="28" w:after="28"/>
            </w:pPr>
            <w:r>
              <w:rPr>
                <w:sz w:val="15"/>
                <w:szCs w:val="15"/>
              </w:rPr>
              <w:t xml:space="preserve">150,000</w:t>
            </w:r>
          </w:p>
        </w:tc>
        <w:tc>
          <w:tcPr>
            <w:tcW w:type="pct" w:w="1381"/>
            <w:shd w:fill="FBFAF6" w:val="clear"/>
            <w:tcMar>
              <w:top w:type="dxa" w:w="50"/>
              <w:left w:type="dxa" w:w="110"/>
              <w:bottom w:type="dxa" w:w="50"/>
              <w:right w:type="dxa" w:w="110"/>
            </w:tcMar>
          </w:tcPr>
          <w:p>
            <w:pPr>
              <w:spacing w:before="28" w:after="28"/>
            </w:pPr>
            <w:r>
              <w:rPr>
                <w:sz w:val="15"/>
                <w:szCs w:val="15"/>
              </w:rPr>
              <w:t xml:space="preserve"> </w:t>
            </w:r>
          </w:p>
        </w:tc>
      </w:tr>
      <w:tr>
        <w:tc>
          <w:tcPr>
            <w:tcW w:type="pct" w:w="2239"/>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(18) </w:t>
            </w:r>
            <w:r>
              <w:rPr>
                <w:u w:val="single"/>
                <w:sz w:val="15"/>
                <w:szCs w:val="15"/>
              </w:rPr>
              <w:t xml:space="preserve">              </w:t>
            </w:r>
            <w:r>
              <w:rPr>
                <w:sz w:val="15"/>
                <w:szCs w:val="15"/>
              </w:rPr>
              <w:t xml:space="preserve"> </w:t>
            </w:r>
            <w:r>
              <w:rPr>
                <w:sz w:val="15"/>
                <w:szCs w:val="15"/>
              </w:rPr>
              <w:t xml:space="preserve">: 25% × 38,000</w:t>
            </w:r>
          </w:p>
        </w:tc>
        <w:tc>
          <w:tcPr>
            <w:tcW w:type="pct" w:w="1381"/>
            <w:tcMar>
              <w:top w:type="dxa" w:w="50"/>
              <w:left w:type="dxa" w:w="110"/>
              <w:bottom w:type="dxa" w:w="50"/>
              <w:right w:type="dxa" w:w="110"/>
            </w:tcMar>
          </w:tcPr>
          <w:p>
            <w:pPr>
              <w:spacing w:before="28" w:after="28"/>
            </w:pPr>
            <w:r>
              <w:rPr>
                <w:sz w:val="15"/>
                <w:szCs w:val="15"/>
              </w:rPr>
              <w:t xml:space="preserve">(9,500)</w:t>
            </w:r>
          </w:p>
        </w:tc>
        <w:tc>
          <w:tcPr>
            <w:tcW w:type="pct" w:w="1381"/>
            <w:tcMar>
              <w:top w:type="dxa" w:w="50"/>
              <w:left w:type="dxa" w:w="110"/>
              <w:bottom w:type="dxa" w:w="50"/>
              <w:right w:type="dxa" w:w="110"/>
            </w:tcMar>
          </w:tcPr>
          <w:p>
            <w:pPr>
              <w:spacing w:before="28" w:after="28"/>
            </w:pPr>
            <w:r>
              <w:rPr>
                <w:sz w:val="15"/>
                <w:szCs w:val="15"/>
              </w:rPr>
              <w:t xml:space="preserve"> </w:t>
            </w:r>
          </w:p>
        </w:tc>
      </w:tr>
      <w:tr>
        <w:tc>
          <w:tcPr>
            <w:tcW w:type="pct" w:w="2239"/>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381"/>
            <w:shd w:fill="FBFAF6" w:val="clear"/>
            <w:tcMar>
              <w:top w:type="dxa" w:w="50"/>
              <w:left w:type="dxa" w:w="110"/>
              <w:bottom w:type="dxa" w:w="50"/>
              <w:right w:type="dxa" w:w="110"/>
            </w:tcMar>
          </w:tcPr>
          <w:p>
            <w:pPr>
              <w:spacing w:before="28" w:after="28"/>
            </w:pPr>
            <w:r>
              <w:rPr>
                <w:sz w:val="15"/>
                <w:szCs w:val="15"/>
              </w:rPr>
              <w:t xml:space="preserve">140,500</w:t>
            </w:r>
          </w:p>
        </w:tc>
        <w:tc>
          <w:tcPr>
            <w:tcW w:type="pct" w:w="1381"/>
            <w:shd w:fill="FBFAF6" w:val="clear"/>
            <w:tcMar>
              <w:top w:type="dxa" w:w="50"/>
              <w:left w:type="dxa" w:w="110"/>
              <w:bottom w:type="dxa" w:w="50"/>
              <w:right w:type="dxa" w:w="110"/>
            </w:tcMar>
          </w:tcPr>
          <w:p>
            <w:pPr>
              <w:spacing w:before="28" w:after="28"/>
            </w:pPr>
            <w:r>
              <w:rPr>
                <w:sz w:val="15"/>
                <w:szCs w:val="15"/>
              </w:rPr>
              <w:t xml:space="preserve"> </w:t>
            </w:r>
          </w:p>
        </w:tc>
      </w:tr>
      <w:tr>
        <w:tc>
          <w:tcPr>
            <w:tcW w:type="pct" w:w="2239"/>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381"/>
            <w:tcMar>
              <w:top w:type="dxa" w:w="50"/>
              <w:left w:type="dxa" w:w="110"/>
              <w:bottom w:type="dxa" w:w="50"/>
              <w:right w:type="dxa" w:w="110"/>
            </w:tcMar>
          </w:tcPr>
          <w:p>
            <w:pPr>
              <w:spacing w:before="28" w:after="28"/>
            </w:pPr>
            <w:r>
              <w:rPr>
                <w:sz w:val="15"/>
                <w:szCs w:val="15"/>
              </w:rPr>
              <w:t xml:space="preserve">497,500</w:t>
            </w:r>
          </w:p>
        </w:tc>
        <w:tc>
          <w:tcPr>
            <w:tcW w:type="pct" w:w="1381"/>
            <w:tcMar>
              <w:top w:type="dxa" w:w="50"/>
              <w:left w:type="dxa" w:w="110"/>
              <w:bottom w:type="dxa" w:w="50"/>
              <w:right w:type="dxa" w:w="110"/>
            </w:tcMar>
          </w:tcPr>
          <w:p>
            <w:pPr>
              <w:spacing w:before="28" w:after="28"/>
            </w:pPr>
            <w:r>
              <w:rPr>
                <w:sz w:val="15"/>
                <w:szCs w:val="15"/>
              </w:rPr>
              <w:t xml:space="preserve">24.875%</w:t>
            </w:r>
          </w:p>
        </w:tc>
      </w:tr>
      <w:tr>
        <w:tc>
          <w:tcPr>
            <w:tcW w:type="pct" w:w="2239"/>
            <w:shd w:fill="FBFAF6" w:val="clear"/>
            <w:tcMar>
              <w:top w:type="dxa" w:w="50"/>
              <w:left w:type="dxa" w:w="110"/>
              <w:bottom w:type="dxa" w:w="50"/>
              <w:right w:type="dxa" w:w="110"/>
            </w:tcMar>
          </w:tcPr>
          <w:p>
            <w:pPr>
              <w:spacing w:before="28" w:after="28"/>
            </w:pPr>
            <w:r>
              <w:rPr>
                <w:sz w:val="15"/>
                <w:szCs w:val="15"/>
              </w:rPr>
              <w:t xml:space="preserve">Rate reconciliation (ASU 2023-09 style)</w:t>
            </w:r>
          </w:p>
        </w:tc>
        <w:tc>
          <w:tcPr>
            <w:tcW w:type="pct" w:w="1381"/>
            <w:shd w:fill="FBFAF6" w:val="clear"/>
            <w:tcMar>
              <w:top w:type="dxa" w:w="50"/>
              <w:left w:type="dxa" w:w="110"/>
              <w:bottom w:type="dxa" w:w="50"/>
              <w:right w:type="dxa" w:w="110"/>
            </w:tcMar>
          </w:tcPr>
          <w:p>
            <w:pPr>
              <w:spacing w:before="28" w:after="28"/>
            </w:pPr>
            <w:r>
              <w:rPr>
                <w:sz w:val="15"/>
                <w:szCs w:val="15"/>
              </w:rPr>
              <w:t xml:space="preserve"> </w:t>
            </w:r>
          </w:p>
        </w:tc>
        <w:tc>
          <w:tcPr>
            <w:tcW w:type="pct" w:w="1381"/>
            <w:shd w:fill="FBFAF6" w:val="clear"/>
            <w:tcMar>
              <w:top w:type="dxa" w:w="50"/>
              <w:left w:type="dxa" w:w="110"/>
              <w:bottom w:type="dxa" w:w="50"/>
              <w:right w:type="dxa" w:w="110"/>
            </w:tcMar>
          </w:tcPr>
          <w:p>
            <w:pPr>
              <w:spacing w:before="28" w:after="28"/>
            </w:pPr>
            <w:r>
              <w:rPr>
                <w:sz w:val="15"/>
                <w:szCs w:val="15"/>
              </w:rPr>
              <w:t xml:space="preserve"> </w:t>
            </w:r>
          </w:p>
        </w:tc>
      </w:tr>
      <w:tr>
        <w:tc>
          <w:tcPr>
            <w:tcW w:type="pct" w:w="2239"/>
            <w:tcMar>
              <w:top w:type="dxa" w:w="50"/>
              <w:left w:type="dxa" w:w="110"/>
              <w:bottom w:type="dxa" w:w="50"/>
              <w:right w:type="dxa" w:w="110"/>
            </w:tcMar>
          </w:tcPr>
          <w:p>
            <w:pPr>
              <w:spacing w:before="28" w:after="28"/>
            </w:pPr>
            <w:r>
              <w:rPr>
                <w:sz w:val="15"/>
                <w:szCs w:val="15"/>
              </w:rPr>
              <w:t xml:space="preserve">Tax at the statutory rate: 25% × 2,000,000</w:t>
            </w:r>
          </w:p>
        </w:tc>
        <w:tc>
          <w:tcPr>
            <w:tcW w:type="pct" w:w="1381"/>
            <w:tcMar>
              <w:top w:type="dxa" w:w="50"/>
              <w:left w:type="dxa" w:w="110"/>
              <w:bottom w:type="dxa" w:w="50"/>
              <w:right w:type="dxa" w:w="110"/>
            </w:tcMar>
          </w:tcPr>
          <w:p>
            <w:pPr>
              <w:spacing w:before="28" w:after="28"/>
            </w:pPr>
            <w:r>
              <w:rPr>
                <w:sz w:val="15"/>
                <w:szCs w:val="15"/>
              </w:rPr>
              <w:t xml:space="preserve">500,000</w:t>
            </w:r>
          </w:p>
        </w:tc>
        <w:tc>
          <w:tcPr>
            <w:tcW w:type="pct" w:w="1381"/>
            <w:tcMar>
              <w:top w:type="dxa" w:w="50"/>
              <w:left w:type="dxa" w:w="110"/>
              <w:bottom w:type="dxa" w:w="50"/>
              <w:right w:type="dxa" w:w="110"/>
            </w:tcMar>
          </w:tcPr>
          <w:p>
            <w:pPr>
              <w:spacing w:before="28" w:after="28"/>
            </w:pPr>
            <w:r>
              <w:rPr>
                <w:sz w:val="15"/>
                <w:szCs w:val="15"/>
              </w:rPr>
              <w:t xml:space="preserve">25.000%</w:t>
            </w:r>
          </w:p>
        </w:tc>
      </w:tr>
      <w:tr>
        <w:tc>
          <w:tcPr>
            <w:tcW w:type="pct" w:w="2239"/>
            <w:shd w:fill="FBFAF6" w:val="clear"/>
            <w:tcMar>
              <w:top w:type="dxa" w:w="50"/>
              <w:left w:type="dxa" w:w="110"/>
              <w:bottom w:type="dxa" w:w="50"/>
              <w:right w:type="dxa" w:w="110"/>
            </w:tcMar>
          </w:tcPr>
          <w:p>
            <w:pPr>
              <w:spacing w:before="28" w:after="28"/>
            </w:pPr>
            <w:r>
              <w:rPr>
                <w:sz w:val="15"/>
                <w:szCs w:val="15"/>
              </w:rPr>
              <w:t xml:space="preserve">Nontaxable or nondeductible items: municipal interest</w:t>
            </w:r>
          </w:p>
        </w:tc>
        <w:tc>
          <w:tcPr>
            <w:tcW w:type="pct" w:w="1381"/>
            <w:shd w:fill="FBFAF6" w:val="clear"/>
            <w:tcMar>
              <w:top w:type="dxa" w:w="50"/>
              <w:left w:type="dxa" w:w="110"/>
              <w:bottom w:type="dxa" w:w="50"/>
              <w:right w:type="dxa" w:w="110"/>
            </w:tcMar>
          </w:tcPr>
          <w:p>
            <w:pPr>
              <w:spacing w:before="28" w:after="28"/>
            </w:pPr>
            <w:r>
              <w:rPr>
                <w:sz w:val="15"/>
                <w:szCs w:val="15"/>
              </w:rPr>
              <w:t xml:space="preserve">(5,000)</w:t>
            </w:r>
          </w:p>
        </w:tc>
        <w:tc>
          <w:tcPr>
            <w:tcW w:type="pct" w:w="1381"/>
            <w:shd w:fill="FBFAF6" w:val="clear"/>
            <w:tcMar>
              <w:top w:type="dxa" w:w="50"/>
              <w:left w:type="dxa" w:w="110"/>
              <w:bottom w:type="dxa" w:w="50"/>
              <w:right w:type="dxa" w:w="110"/>
            </w:tcMar>
          </w:tcPr>
          <w:p>
            <w:pPr>
              <w:spacing w:before="28" w:after="28"/>
            </w:pPr>
            <w:r>
              <w:rPr>
                <w:sz w:val="15"/>
                <w:szCs w:val="15"/>
              </w:rPr>
              <w:t xml:space="preserve">-0.250%</w:t>
            </w:r>
          </w:p>
        </w:tc>
      </w:tr>
      <w:tr>
        <w:tc>
          <w:tcPr>
            <w:tcW w:type="pct" w:w="2239"/>
            <w:tcMar>
              <w:top w:type="dxa" w:w="50"/>
              <w:left w:type="dxa" w:w="110"/>
              <w:bottom w:type="dxa" w:w="50"/>
              <w:right w:type="dxa" w:w="110"/>
            </w:tcMar>
          </w:tcPr>
          <w:p>
            <w:pPr>
              <w:spacing w:before="28" w:after="28"/>
            </w:pPr>
            <w:r>
              <w:rPr>
                <w:sz w:val="15"/>
                <w:szCs w:val="15"/>
              </w:rPr>
              <w:t xml:space="preserve">Nontaxable or nondeductible items: fine</w:t>
            </w:r>
          </w:p>
        </w:tc>
        <w:tc>
          <w:tcPr>
            <w:tcW w:type="pct" w:w="1381"/>
            <w:tcMar>
              <w:top w:type="dxa" w:w="50"/>
              <w:left w:type="dxa" w:w="110"/>
              <w:bottom w:type="dxa" w:w="50"/>
              <w:right w:type="dxa" w:w="110"/>
            </w:tcMar>
          </w:tcPr>
          <w:p>
            <w:pPr>
              <w:spacing w:before="28" w:after="28"/>
            </w:pPr>
            <w:r>
              <w:rPr>
                <w:sz w:val="15"/>
                <w:szCs w:val="15"/>
              </w:rPr>
              <w:t xml:space="preserve">2,500</w:t>
            </w:r>
          </w:p>
        </w:tc>
        <w:tc>
          <w:tcPr>
            <w:tcW w:type="pct" w:w="1381"/>
            <w:tcMar>
              <w:top w:type="dxa" w:w="50"/>
              <w:left w:type="dxa" w:w="110"/>
              <w:bottom w:type="dxa" w:w="50"/>
              <w:right w:type="dxa" w:w="110"/>
            </w:tcMar>
          </w:tcPr>
          <w:p>
            <w:pPr>
              <w:spacing w:before="28" w:after="28"/>
            </w:pPr>
            <w:r>
              <w:rPr>
                <w:sz w:val="15"/>
                <w:szCs w:val="15"/>
              </w:rPr>
              <w:t xml:space="preserve">0.125%</w:t>
            </w:r>
          </w:p>
        </w:tc>
      </w:tr>
      <w:tr>
        <w:tc>
          <w:tcPr>
            <w:tcW w:type="pct" w:w="2239"/>
            <w:shd w:fill="FBFAF6" w:val="clear"/>
            <w:tcMar>
              <w:top w:type="dxa" w:w="50"/>
              <w:left w:type="dxa" w:w="110"/>
              <w:bottom w:type="dxa" w:w="50"/>
              <w:right w:type="dxa" w:w="110"/>
            </w:tcMar>
          </w:tcPr>
          <w:p>
            <w:pPr>
              <w:spacing w:before="28" w:after="28"/>
            </w:pPr>
            <w:r>
              <w:rPr>
                <w:sz w:val="15"/>
                <w:szCs w:val="15"/>
              </w:rPr>
              <w:t xml:space="preserve">Income tax expense and effective tax rate</w:t>
            </w:r>
          </w:p>
        </w:tc>
        <w:tc>
          <w:tcPr>
            <w:tcW w:type="pct" w:w="1381"/>
            <w:shd w:fill="FBFAF6" w:val="clear"/>
            <w:tcMar>
              <w:top w:type="dxa" w:w="50"/>
              <w:left w:type="dxa" w:w="110"/>
              <w:bottom w:type="dxa" w:w="50"/>
              <w:right w:type="dxa" w:w="110"/>
            </w:tcMar>
          </w:tcPr>
          <w:p>
            <w:pPr>
              <w:spacing w:before="28" w:after="28"/>
            </w:pPr>
            <w:r>
              <w:rPr>
                <w:sz w:val="15"/>
                <w:szCs w:val="15"/>
              </w:rPr>
              <w:t xml:space="preserve">497,500</w:t>
            </w:r>
          </w:p>
        </w:tc>
        <w:tc>
          <w:tcPr>
            <w:tcW w:type="pct" w:w="1381"/>
            <w:shd w:fill="FBFAF6" w:val="clear"/>
            <w:tcMar>
              <w:top w:type="dxa" w:w="50"/>
              <w:left w:type="dxa" w:w="110"/>
              <w:bottom w:type="dxa" w:w="50"/>
              <w:right w:type="dxa" w:w="110"/>
            </w:tcMar>
          </w:tcPr>
          <w:p>
            <w:pPr>
              <w:spacing w:before="28" w:after="28"/>
            </w:pPr>
            <w:r>
              <w:rPr>
                <w:sz w:val="15"/>
                <w:szCs w:val="15"/>
              </w:rPr>
              <w:t xml:space="preserve">24.875%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Deferred tax expense   ·   Nontaxable or nondeductible items   ·   Deferred tax liability created   ·   Deferred tax asset created   ·   Total income tax expense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Classify the differences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98"/>
        <w:gridCol w:w="2651"/>
        <w:gridCol w:w="265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Classify the differences (complete the blanks)</w:t>
            </w:r>
          </w:p>
        </w:tc>
      </w:tr>
      <w:tr>
        <w:tc>
          <w:tcPr>
            <w:tcW w:type="pct" w:w="2239"/>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1381"/>
            <w:shd w:fill="353A7C" w:val="clear"/>
            <w:tcMar>
              <w:top w:type="dxa" w:w="50"/>
              <w:left w:type="dxa" w:w="110"/>
              <w:bottom w:type="dxa" w:w="50"/>
              <w:right w:type="dxa" w:w="110"/>
            </w:tcMar>
          </w:tcPr>
          <w:p>
            <w:pPr>
              <w:spacing w:before="30" w:after="30"/>
            </w:pPr>
            <w:r>
              <w:rPr>
                <w:b/>
                <w:bCs/>
                <w:color w:val="FFFFFF"/>
                <w:sz w:val="15"/>
                <w:szCs w:val="15"/>
              </w:rPr>
              <w:t xml:space="preserve">Type</w:t>
            </w:r>
          </w:p>
        </w:tc>
        <w:tc>
          <w:tcPr>
            <w:tcW w:type="pct" w:w="1381"/>
            <w:shd w:fill="353A7C" w:val="clear"/>
            <w:tcMar>
              <w:top w:type="dxa" w:w="50"/>
              <w:left w:type="dxa" w:w="110"/>
              <w:bottom w:type="dxa" w:w="50"/>
              <w:right w:type="dxa" w:w="110"/>
            </w:tcMar>
          </w:tcPr>
          <w:p>
            <w:pPr>
              <w:spacing w:before="30" w:after="30"/>
            </w:pPr>
            <w:r>
              <w:rPr>
                <w:b/>
                <w:bCs/>
                <w:color w:val="FFFFFF"/>
                <w:sz w:val="15"/>
                <w:szCs w:val="15"/>
              </w:rPr>
              <w:t xml:space="preserve">Creates</w:t>
            </w:r>
          </w:p>
        </w:tc>
      </w:tr>
      <w:tr>
        <w:tc>
          <w:tcPr>
            <w:tcW w:type="pct" w:w="2239"/>
            <w:tcMar>
              <w:top w:type="dxa" w:w="50"/>
              <w:left w:type="dxa" w:w="110"/>
              <w:bottom w:type="dxa" w:w="50"/>
              <w:right w:type="dxa" w:w="110"/>
            </w:tcMar>
          </w:tcPr>
          <w:p>
            <w:pPr>
              <w:spacing w:before="28" w:after="28"/>
            </w:pPr>
            <w:r>
              <w:rPr>
                <w:sz w:val="15"/>
                <w:szCs w:val="15"/>
              </w:rPr>
              <w:t xml:space="preserve">Tax-exempt municipal bond interest</w:t>
            </w:r>
          </w:p>
        </w:tc>
        <w:tc>
          <w:tcPr>
            <w:tcW w:type="pct" w:w="1381"/>
            <w:tcMar>
              <w:top w:type="dxa" w:w="50"/>
              <w:left w:type="dxa" w:w="110"/>
              <w:bottom w:type="dxa" w:w="50"/>
              <w:right w:type="dxa" w:w="110"/>
            </w:tcMar>
          </w:tcPr>
          <w:p>
            <w:pPr>
              <w:spacing w:before="28" w:after="28"/>
            </w:pPr>
            <w:r>
              <w:rPr>
                <w:sz w:val="15"/>
                <w:szCs w:val="15"/>
              </w:rPr>
              <w:t xml:space="preserve">Permanent</w:t>
            </w:r>
          </w:p>
        </w:tc>
        <w:tc>
          <w:tcPr>
            <w:tcW w:type="pct" w:w="1381"/>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239"/>
            <w:shd w:fill="FBFAF6" w:val="clear"/>
            <w:tcMar>
              <w:top w:type="dxa" w:w="50"/>
              <w:left w:type="dxa" w:w="110"/>
              <w:bottom w:type="dxa" w:w="50"/>
              <w:right w:type="dxa" w:w="110"/>
            </w:tcMar>
          </w:tcPr>
          <w:p>
            <w:pPr>
              <w:spacing w:before="28" w:after="28"/>
            </w:pPr>
            <w:r>
              <w:rPr>
                <w:sz w:val="15"/>
                <w:szCs w:val="15"/>
              </w:rPr>
              <w:t xml:space="preserve">Tax depreciation faster than book depreciation</w:t>
            </w:r>
          </w:p>
        </w:tc>
        <w:tc>
          <w:tcPr>
            <w:tcW w:type="pct" w:w="1381"/>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1381"/>
            <w:shd w:fill="FBFAF6" w:val="clear"/>
            <w:tcMar>
              <w:top w:type="dxa" w:w="50"/>
              <w:left w:type="dxa" w:w="110"/>
              <w:bottom w:type="dxa" w:w="50"/>
              <w:right w:type="dxa" w:w="110"/>
            </w:tcMar>
          </w:tcPr>
          <w:p>
            <w:pPr>
              <w:spacing w:before="28" w:after="28"/>
            </w:pPr>
            <w:r>
              <w:rPr>
                <w:sz w:val="15"/>
                <w:szCs w:val="15"/>
              </w:rPr>
              <w:t xml:space="preserve">DTL</w:t>
            </w:r>
          </w:p>
        </w:tc>
      </w:tr>
      <w:tr>
        <w:tc>
          <w:tcPr>
            <w:tcW w:type="pct" w:w="2239"/>
            <w:tcMar>
              <w:top w:type="dxa" w:w="50"/>
              <w:left w:type="dxa" w:w="110"/>
              <w:bottom w:type="dxa" w:w="50"/>
              <w:right w:type="dxa" w:w="110"/>
            </w:tcMar>
          </w:tcPr>
          <w:p>
            <w:pPr>
              <w:spacing w:before="28" w:after="28"/>
            </w:pPr>
            <w:r>
              <w:rPr>
                <w:sz w:val="15"/>
                <w:szCs w:val="15"/>
              </w:rPr>
              <w:t xml:space="preserve">Warranty expense accrued now, deducted for tax when repairs are paid</w:t>
            </w:r>
          </w:p>
        </w:tc>
        <w:tc>
          <w:tcPr>
            <w:tcW w:type="pct" w:w="1381"/>
            <w:tcMar>
              <w:top w:type="dxa" w:w="50"/>
              <w:left w:type="dxa" w:w="110"/>
              <w:bottom w:type="dxa" w:w="50"/>
              <w:right w:type="dxa" w:w="110"/>
            </w:tcMar>
          </w:tcPr>
          <w:p>
            <w:pPr>
              <w:spacing w:before="28" w:after="28"/>
            </w:pPr>
            <w:r>
              <w:rPr>
                <w:sz w:val="15"/>
                <w:szCs w:val="15"/>
              </w:rPr>
              <w:t xml:space="preserve">________</w:t>
            </w:r>
          </w:p>
        </w:tc>
        <w:tc>
          <w:tcPr>
            <w:tcW w:type="pct" w:w="1381"/>
            <w:tcMar>
              <w:top w:type="dxa" w:w="50"/>
              <w:left w:type="dxa" w:w="110"/>
              <w:bottom w:type="dxa" w:w="50"/>
              <w:right w:type="dxa" w:w="110"/>
            </w:tcMar>
          </w:tcPr>
          <w:p>
            <w:pPr>
              <w:spacing w:before="28" w:after="28"/>
            </w:pPr>
            <w:r>
              <w:rPr>
                <w:sz w:val="15"/>
                <w:szCs w:val="15"/>
              </w:rPr>
              <w:t xml:space="preserve">________</w:t>
            </w:r>
          </w:p>
        </w:tc>
      </w:tr>
      <w:tr>
        <w:tc>
          <w:tcPr>
            <w:tcW w:type="pct" w:w="2239"/>
            <w:shd w:fill="FBFAF6" w:val="clear"/>
            <w:tcMar>
              <w:top w:type="dxa" w:w="50"/>
              <w:left w:type="dxa" w:w="110"/>
              <w:bottom w:type="dxa" w:w="50"/>
              <w:right w:type="dxa" w:w="110"/>
            </w:tcMar>
          </w:tcPr>
          <w:p>
            <w:pPr>
              <w:spacing w:before="28" w:after="28"/>
            </w:pPr>
            <w:r>
              <w:rPr>
                <w:sz w:val="15"/>
                <w:szCs w:val="15"/>
              </w:rPr>
              <w:t xml:space="preserve">Fine for breaking an environmental law</w:t>
            </w:r>
          </w:p>
        </w:tc>
        <w:tc>
          <w:tcPr>
            <w:tcW w:type="pct" w:w="1381"/>
            <w:shd w:fill="FBFAF6" w:val="clear"/>
            <w:tcMar>
              <w:top w:type="dxa" w:w="50"/>
              <w:left w:type="dxa" w:w="110"/>
              <w:bottom w:type="dxa" w:w="50"/>
              <w:right w:type="dxa" w:w="110"/>
            </w:tcMar>
          </w:tcPr>
          <w:p>
            <w:pPr>
              <w:spacing w:before="28" w:after="28"/>
            </w:pPr>
            <w:r>
              <w:rPr>
                <w:sz w:val="15"/>
                <w:szCs w:val="15"/>
              </w:rPr>
              <w:t xml:space="preserve">________</w:t>
            </w:r>
          </w:p>
        </w:tc>
        <w:tc>
          <w:tcPr>
            <w:tcW w:type="pct" w:w="1381"/>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239"/>
            <w:tcMar>
              <w:top w:type="dxa" w:w="50"/>
              <w:left w:type="dxa" w:w="110"/>
              <w:bottom w:type="dxa" w:w="50"/>
              <w:right w:type="dxa" w:w="110"/>
            </w:tcMar>
          </w:tcPr>
          <w:p>
            <w:pPr>
              <w:spacing w:before="28" w:after="28"/>
            </w:pPr>
            <w:r>
              <w:rPr>
                <w:sz w:val="15"/>
                <w:szCs w:val="15"/>
              </w:rPr>
              <w:t xml:space="preserve">Rent received in advance, taxed when received</w:t>
            </w:r>
          </w:p>
        </w:tc>
        <w:tc>
          <w:tcPr>
            <w:tcW w:type="pct" w:w="1381"/>
            <w:tcMar>
              <w:top w:type="dxa" w:w="50"/>
              <w:left w:type="dxa" w:w="110"/>
              <w:bottom w:type="dxa" w:w="50"/>
              <w:right w:type="dxa" w:w="110"/>
            </w:tcMar>
          </w:tcPr>
          <w:p>
            <w:pPr>
              <w:spacing w:before="28" w:after="28"/>
            </w:pPr>
            <w:r>
              <w:rPr>
                <w:sz w:val="15"/>
                <w:szCs w:val="15"/>
              </w:rPr>
              <w:t xml:space="preserve">________</w:t>
            </w:r>
          </w:p>
        </w:tc>
        <w:tc>
          <w:tcPr>
            <w:tcW w:type="pct" w:w="1381"/>
            <w:tcMar>
              <w:top w:type="dxa" w:w="50"/>
              <w:left w:type="dxa" w:w="110"/>
              <w:bottom w:type="dxa" w:w="50"/>
              <w:right w:type="dxa" w:w="110"/>
            </w:tcMar>
          </w:tcPr>
          <w:p>
            <w:pPr>
              <w:spacing w:before="28" w:after="28"/>
            </w:pPr>
            <w:r>
              <w:rPr>
                <w:sz w:val="15"/>
                <w:szCs w:val="15"/>
              </w:rPr>
              <w:t xml:space="preserve">________</w:t>
            </w:r>
          </w:p>
        </w:tc>
      </w:tr>
      <w:tr>
        <w:tc>
          <w:tcPr>
            <w:tcW w:type="pct" w:w="2239"/>
            <w:shd w:fill="FBFAF6" w:val="clear"/>
            <w:tcMar>
              <w:top w:type="dxa" w:w="50"/>
              <w:left w:type="dxa" w:w="110"/>
              <w:bottom w:type="dxa" w:w="50"/>
              <w:right w:type="dxa" w:w="110"/>
            </w:tcMar>
          </w:tcPr>
          <w:p>
            <w:pPr>
              <w:spacing w:before="28" w:after="28"/>
            </w:pPr>
            <w:r>
              <w:rPr>
                <w:sz w:val="15"/>
                <w:szCs w:val="15"/>
              </w:rPr>
              <w:t xml:space="preserve">Equity-method income, taxed only when dividends are received</w:t>
            </w:r>
          </w:p>
        </w:tc>
        <w:tc>
          <w:tcPr>
            <w:tcW w:type="pct" w:w="1381"/>
            <w:shd w:fill="FBFAF6" w:val="clear"/>
            <w:tcMar>
              <w:top w:type="dxa" w:w="50"/>
              <w:left w:type="dxa" w:w="110"/>
              <w:bottom w:type="dxa" w:w="50"/>
              <w:right w:type="dxa" w:w="110"/>
            </w:tcMar>
          </w:tcPr>
          <w:p>
            <w:pPr>
              <w:spacing w:before="28" w:after="28"/>
            </w:pPr>
            <w:r>
              <w:rPr>
                <w:sz w:val="15"/>
                <w:szCs w:val="15"/>
              </w:rPr>
              <w:t xml:space="preserve">________</w:t>
            </w:r>
          </w:p>
        </w:tc>
        <w:tc>
          <w:tcPr>
            <w:tcW w:type="pct" w:w="1381"/>
            <w:shd w:fill="FBFAF6" w:val="clear"/>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None   ·   Taxable income   ·   Temporary, taxable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effective tax rate   ·   أصل ضريبي مؤجل   ·   enacted tax rate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deferred tax liability</w:t>
            </w:r>
          </w:p>
        </w:tc>
        <w:tc>
          <w:tcPr>
            <w:tcW w:type="pct" w:w="2600"/>
            <w:tcMar>
              <w:top w:type="dxa" w:w="50"/>
              <w:left w:type="dxa" w:w="110"/>
              <w:bottom w:type="dxa" w:w="50"/>
              <w:right w:type="dxa" w:w="110"/>
            </w:tcMar>
          </w:tcPr>
          <w:p>
            <w:pPr>
              <w:spacing w:before="26" w:after="26"/>
            </w:pPr>
            <w:r>
              <w:rPr>
                <w:color w:val="232733"/>
                <w:sz w:val="16"/>
                <w:szCs w:val="16"/>
              </w:rPr>
              <w:t xml:space="preserve">التزام ضريبي مؤجل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deferred tax asset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أصل ضريبي مؤجل</w:t>
            </w:r>
          </w:p>
        </w:tc>
      </w:tr>
      <w:tr>
        <w:tc>
          <w:tcPr>
            <w:tcW w:type="pct" w:w="2400"/>
            <w:tcMar>
              <w:top w:type="dxa" w:w="50"/>
              <w:left w:type="dxa" w:w="110"/>
              <w:bottom w:type="dxa" w:w="50"/>
              <w:right w:type="dxa" w:w="110"/>
            </w:tcMar>
          </w:tcPr>
          <w:p>
            <w:pPr>
              <w:spacing w:before="26" w:after="26"/>
            </w:pPr>
            <w:r>
              <w:rPr>
                <w:color w:val="232733"/>
                <w:sz w:val="16"/>
                <w:szCs w:val="16"/>
              </w:rPr>
              <w:t xml:space="preserve">enacted tax rate</w:t>
            </w:r>
          </w:p>
        </w:tc>
        <w:tc>
          <w:tcPr>
            <w:tcW w:type="pct" w:w="2600"/>
            <w:tcMar>
              <w:top w:type="dxa" w:w="50"/>
              <w:left w:type="dxa" w:w="110"/>
              <w:bottom w:type="dxa" w:w="50"/>
              <w:right w:type="dxa" w:w="110"/>
            </w:tcMar>
          </w:tcPr>
          <w:p>
            <w:pPr>
              <w:spacing w:before="26" w:after="26"/>
            </w:pPr>
            <w:r>
              <w:rPr>
                <w:color w:val="232733"/>
                <w:sz w:val="16"/>
                <w:szCs w:val="16"/>
              </w:rPr>
              <w:t xml:space="preserve">معدل الضريبة المُقر (المسنون)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effective tax rate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معدل الضريبة الفعلي</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13.3  Measuring current and deferred taxes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approach</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follow</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Current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equipment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effective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statutory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Deferred tax liability created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Deferred tax asset created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Deferred tax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allows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Total income tax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temporary</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None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dispenser</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Temporary, taxable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deductible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enacted tax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Current tax expense at 25%</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effective tax rate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U.S. GAAP uses the balance sheet approach. Current tax is taxable income times the tax rate. Deferred tax liabilities and assets are the temporary differences times the enacted tax rate that will apply when they reverse. Deferred tax expense is the change in the net deferred tax liability during the year.</w:t>
      </w:r>
    </w:p>
    <w:p>
      <w:pPr>
        <w:spacing w:before="20" w:after="20"/>
        <w:ind w:left="240" w:hanging="240"/>
      </w:pPr>
      <w:r>
        <w:rPr>
          <w:b/>
          <w:bCs/>
          <w:color w:val="353A7C"/>
          <w:sz w:val="15"/>
          <w:szCs w:val="15"/>
        </w:rPr>
        <w:t xml:space="preserve">Summary 2   </w:t>
      </w:r>
      <w:r>
        <w:rPr>
          <w:color w:val="6B7280"/>
          <w:sz w:val="15"/>
          <w:szCs w:val="15"/>
        </w:rPr>
        <w:t xml:space="preserve">Suppose Orontes earns $2,000,000 before tax in 2026. It removes the permanent differences: municipal interest of $20,000 and a fine of $10,000. New equipment costs $900,000. Tax law allows 100% bonus depreciation, but book depreciation is $300,000. The difference of $600,000 reduces taxable income now: a taxable temporary difference. The dispenser warranty from,000, but only $22,000 of repairs were paid. The $38,000 not yet deductible increases taxable income now. Taxable income is $1,428,000, so current tax is $357,000.</w:t>
      </w:r>
    </w:p>
    <w:p>
      <w:pPr>
        <w:spacing w:before="20" w:after="20"/>
        <w:ind w:left="240" w:hanging="240"/>
      </w:pPr>
      <w:r>
        <w:rPr>
          <w:b/>
          <w:bCs/>
          <w:color w:val="353A7C"/>
          <w:sz w:val="15"/>
          <w:szCs w:val="15"/>
        </w:rPr>
        <w:t xml:space="preserve">Summary 3   </w:t>
      </w:r>
      <w:r>
        <w:rPr>
          <w:color w:val="6B7280"/>
          <w:sz w:val="15"/>
          <w:szCs w:val="15"/>
        </w:rPr>
        <w:t xml:space="preserve">Deferred taxes follow from the same differences. The equipment creates a deferred tax liability of $150,000, and the warranty a deferred tax asset of $9,500. Deferred tax expense is $140,500, so total income tax expense is $497,500. The effective tax rate is total tax expense divided by pretax income: 24.875%. It differs from the statutory 25% only because of the permanent differences.</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13.4  Rate changes, valuation allowances, losses and presentation</w:t>
            </w:r>
          </w:p>
          <w:p>
            <w:pPr>
              <w:spacing w:before="0" w:after="46"/>
            </w:pPr>
            <w:r>
              <w:rPr>
                <w:color w:val="E8EAF6"/>
                <w:sz w:val="16"/>
                <w:szCs w:val="16"/>
              </w:rPr>
              <w:t xml:space="preserve">Chapter 13 · section 13.4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When a new tax law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rate, the company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its deferred taxes at once. </w:t>
      </w:r>
      <w:r>
        <w:rPr>
          <w:sz w:val="19"/>
          <w:szCs w:val="19"/>
        </w:rPr>
        <w:t xml:space="preserve">The whole effect goes to income from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operations in the period that includes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date, even if the original item was in OCI. </w:t>
      </w:r>
      <w:r>
        <w:rPr>
          <w:sz w:val="19"/>
          <w:szCs w:val="19"/>
        </w:rPr>
        <w:t xml:space="preserve">For example, a U.S. tax law signed on July 4, 2025 changed several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rules; companies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effects in the quarter that included that date. </w:t>
      </w:r>
      <w:r>
        <w:rPr>
          <w:sz w:val="19"/>
          <w:szCs w:val="19"/>
        </w:rPr>
        <w:t xml:space="preserve">A deferred tax asset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only if the company will have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taxable income to use it. </w:t>
      </w:r>
      <w:r>
        <w:rPr>
          <w:sz w:val="19"/>
          <w:szCs w:val="19"/>
        </w:rPr>
        <w:t xml:space="preserve">If it is more likely than not that some of the asset will not be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company records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allowance. </w:t>
      </w:r>
      <w:r>
        <w:rPr>
          <w:sz w:val="19"/>
          <w:szCs w:val="19"/>
        </w:rPr>
        <w:t xml:space="preserve">A tax loss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 net operating loss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which is a deferred tax asset. </w:t>
      </w:r>
      <w:r>
        <w:rPr>
          <w:sz w:val="19"/>
          <w:szCs w:val="19"/>
        </w:rPr>
        <w:t xml:space="preserve">Under current U.S. federal law, most losses cannot be carried back. </w:t>
      </w:r>
      <w:r>
        <w:rPr>
          <w:sz w:val="19"/>
          <w:szCs w:val="19"/>
        </w:rPr>
        <w:t xml:space="preserve">They can be carried forward without a time limit, but they can reduce only 80% of taxable income in any year.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valuation   ·   deduction   ·   ignored   ·   remeasures   ·   recorded   ·   carryforward   ·   creates   ·   changes   ·   enough   ·   continuing   ·   useful   ·   enactment   ·   realized</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All deferred tax assets and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are noncurrent. </w:t>
      </w:r>
      <w:r>
        <w:rPr>
          <w:sz w:val="19"/>
          <w:szCs w:val="19"/>
        </w:rPr>
        <w:t xml:space="preserve">Within one tax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they are offset and shown as one net amount. </w:t>
      </w:r>
      <w:r>
        <w:rPr>
          <w:sz w:val="19"/>
          <w:szCs w:val="19"/>
        </w:rPr>
        <w:t xml:space="preserve">Tax is also allocated within the period: Orontes's OCI loss was shown net of its $375 tax effect, and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operations carry their own tax. </w:t>
      </w:r>
      <w:r>
        <w:rPr>
          <w:sz w:val="19"/>
          <w:szCs w:val="19"/>
        </w:rPr>
        <w:t xml:space="preserve">This is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tax allocation.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intraperiod   ·   includes   ·   liabilities   ·   jurisdiction   ·   discontinued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Rate and allowance traps</w:t>
            </w:r>
          </w:p>
        </w:tc>
      </w:tr>
    </w:tbl>
    <w:p/>
    <w:p>
      <w:pPr>
        <w:spacing w:before="44" w:after="14"/>
      </w:pPr>
      <w:r>
        <w:rPr>
          <w:b/>
          <w:bCs/>
          <w:color w:val="353A7C"/>
          <w:sz w:val="18"/>
          <w:szCs w:val="18"/>
        </w:rPr>
        <w:t xml:space="preserve">Summary 3</w:t>
      </w:r>
      <w:r>
        <w:rPr>
          <w:color w:val="6B7280"/>
          <w:sz w:val="16"/>
          <w:szCs w:val="16"/>
        </w:rPr>
        <w:t xml:space="preserve">      gaps 17–23</w:t>
      </w:r>
    </w:p>
    <w:p>
      <w:pPr>
        <w:spacing w:before="20" w:after="20" w:line="360" w:lineRule="auto"/>
        <w:ind w:left="200"/>
      </w:pPr>
      <w:r>
        <w:rPr>
          <w:sz w:val="19"/>
          <w:szCs w:val="19"/>
        </w:rPr>
        <w:t xml:space="preserve">Use enacted rates only; an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but unsigned rate is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Record the full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of a rate change in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operations when the law is enacted. </w:t>
      </w:r>
      <w:r>
        <w:rPr>
          <w:sz w:val="19"/>
          <w:szCs w:val="19"/>
        </w:rPr>
        <w:t xml:space="preserve">Record the full DTA, then a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allowance: do not record only the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part. </w:t>
      </w:r>
      <w:r>
        <w:rPr>
          <w:sz w:val="19"/>
          <w:szCs w:val="19"/>
        </w:rPr>
        <w:t xml:space="preserve">An uncertain tax position is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only if it is more likely than not to be accepted by the tax authority. </w:t>
      </w:r>
      <w:r>
        <w:rPr>
          <w:sz w:val="19"/>
          <w:szCs w:val="19"/>
        </w:rPr>
        <w:t xml:space="preserve">The global minimum tax (Pillar Two) is treated as a current cost in the year it arises, with no deferred taxes.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probable   ·   recognized   ·   ignored   ·   effect   ·   valuation   ·   Orontes's   ·   continuing   ·   announced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0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7085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deferred tax asset   ·   intraperiod tax allocation   ·   net operating loss carryforward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valuation allowance</w:t>
            </w:r>
          </w:p>
        </w:tc>
        <w:tc>
          <w:tcPr>
            <w:tcW w:type="pct" w:w="2400"/>
            <w:tcMar>
              <w:top w:type="dxa" w:w="50"/>
              <w:left w:type="dxa" w:w="110"/>
              <w:bottom w:type="dxa" w:w="50"/>
              <w:right w:type="dxa" w:w="110"/>
            </w:tcMar>
          </w:tcPr>
          <w:p>
            <w:pPr>
              <w:spacing w:before="26" w:after="26"/>
            </w:pPr>
            <w:r>
              <w:rPr>
                <w:color w:val="232733"/>
                <w:sz w:val="16"/>
                <w:szCs w:val="16"/>
              </w:rPr>
              <w:t xml:space="preserve">مخصص التقييم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operating loss carryforward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ترحيل صافي الخسارة التشغيلية</w:t>
            </w:r>
          </w:p>
        </w:tc>
      </w:tr>
      <w:tr>
        <w:tc>
          <w:tcPr>
            <w:tcW w:type="pct" w:w="2600"/>
            <w:tcMar>
              <w:top w:type="dxa" w:w="50"/>
              <w:left w:type="dxa" w:w="110"/>
              <w:bottom w:type="dxa" w:w="50"/>
              <w:right w:type="dxa" w:w="110"/>
            </w:tcMar>
          </w:tcPr>
          <w:p>
            <w:pPr>
              <w:spacing w:before="26" w:after="26"/>
            </w:pPr>
            <w:r>
              <w:rPr>
                <w:color w:val="232733"/>
                <w:sz w:val="16"/>
                <w:szCs w:val="16"/>
              </w:rPr>
              <w:t xml:space="preserve">uncertain tax position</w:t>
            </w:r>
          </w:p>
        </w:tc>
        <w:tc>
          <w:tcPr>
            <w:tcW w:type="pct" w:w="2400"/>
            <w:tcMar>
              <w:top w:type="dxa" w:w="50"/>
              <w:left w:type="dxa" w:w="110"/>
              <w:bottom w:type="dxa" w:w="50"/>
              <w:right w:type="dxa" w:w="110"/>
            </w:tcMar>
          </w:tcPr>
          <w:p>
            <w:pPr>
              <w:spacing w:before="26" w:after="26"/>
            </w:pPr>
            <w:r>
              <w:rPr>
                <w:color w:val="232733"/>
                <w:sz w:val="16"/>
                <w:szCs w:val="16"/>
              </w:rPr>
              <w:t xml:space="preserve">مركز ضريبي غير مؤكد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intraperiod tax allocation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توزيع الضريبة داخل الفترة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13.4  Rate changes, valuation allowances, losses and presentation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changes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jurisdiction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remeasures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discontinued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continuing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intraperiod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enactment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announced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deduction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ignored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effect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useful</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continuing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enough</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valuation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realized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probable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valuation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recognized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creates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net operating loss carryforward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carryforward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intraperiod tax allocation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liabilities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 new tax law changes the rate, the company remeasures its deferred taxes at once. The whole effect goes to income from continuing operations in the period that includes the enactment date, even if the original item was in OCI. For example, a U.S. tax law signed on July 4, 2025 changed several deduction rules; companies recorded the effects in the quarter that included that date. A deferred tax asset is useful only if the company will have enough taxable income to use it. If it is more likely than not that some of the asset will not be realized, the company records a valuation allowance. A tax loss creates a net operating loss carryforward, which is a deferred tax asset. Under current U.S. federal law, most losses cannot be carried back. They can be carried forward without a time limit, but they can reduce only 80% of taxable income in any year.</w:t>
      </w:r>
    </w:p>
    <w:p>
      <w:pPr>
        <w:spacing w:before="20" w:after="20"/>
        <w:ind w:left="240" w:hanging="240"/>
      </w:pPr>
      <w:r>
        <w:rPr>
          <w:b/>
          <w:bCs/>
          <w:color w:val="353A7C"/>
          <w:sz w:val="15"/>
          <w:szCs w:val="15"/>
        </w:rPr>
        <w:t xml:space="preserve">Summary 2   </w:t>
      </w:r>
      <w:r>
        <w:rPr>
          <w:color w:val="6B7280"/>
          <w:sz w:val="15"/>
          <w:szCs w:val="15"/>
        </w:rPr>
        <w:t xml:space="preserve">All deferred tax assets and liabilities are noncurrent. Within one tax jurisdiction they are offset and shown as one net amount. Tax is also allocated within the period: Orontes's OCI loss was shown net of its $375 tax effect, and discontinued operations carry their own tax. This is intraperiod tax allocation.</w:t>
      </w:r>
    </w:p>
    <w:p>
      <w:pPr>
        <w:spacing w:before="20" w:after="20"/>
        <w:ind w:left="240" w:hanging="240"/>
      </w:pPr>
      <w:r>
        <w:rPr>
          <w:b/>
          <w:bCs/>
          <w:color w:val="353A7C"/>
          <w:sz w:val="15"/>
          <w:szCs w:val="15"/>
        </w:rPr>
        <w:t xml:space="preserve">Summary 3   </w:t>
      </w:r>
      <w:r>
        <w:rPr>
          <w:color w:val="6B7280"/>
          <w:sz w:val="15"/>
          <w:szCs w:val="15"/>
        </w:rPr>
        <w:t xml:space="preserve">Use enacted rates only; an announced but unsigned rate is ignored. Record the full effect of a rate change in continuing operations when the law is enacted. Record the full DTA, then a valuation allowance: do not record only the probable part. An uncertain tax position is recognized only if it is more likely than not to be accepted by the tax authority. The global minimum tax (Pillar Two) is treated as a current cost in the year it arises, with no deferred taxes.</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13.5  IFRS differences and disclosures</w:t>
            </w:r>
          </w:p>
          <w:p>
            <w:pPr>
              <w:spacing w:before="0" w:after="46"/>
            </w:pPr>
            <w:r>
              <w:rPr>
                <w:color w:val="E8EAF6"/>
                <w:sz w:val="16"/>
                <w:szCs w:val="16"/>
              </w:rPr>
              <w:t xml:space="preserve">Chapter 13 · section 13.5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biggest one for the exam is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tax asset: IFRS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only the amount it is probable to use, while U.S. GAAP records the full asset and a separate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allowance.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contra-asset   ·   deferred   ·   recognizes   ·   valuation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72"/>
        <w:gridCol w:w="4032"/>
        <w:gridCol w:w="349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Income taxes: U.S. GAAP (ASC 740) and IFRS (IAS 12)</w:t>
            </w:r>
          </w:p>
        </w:tc>
      </w:tr>
      <w:tr>
        <w:tc>
          <w:tcPr>
            <w:tcW w:type="pct" w:w="1079"/>
            <w:shd w:fill="353A7C" w:val="clear"/>
            <w:tcMar>
              <w:top w:type="dxa" w:w="50"/>
              <w:left w:type="dxa" w:w="110"/>
              <w:bottom w:type="dxa" w:w="50"/>
              <w:right w:type="dxa" w:w="110"/>
            </w:tcMar>
          </w:tcPr>
          <w:p>
            <w:pPr>
              <w:spacing w:before="30" w:after="30"/>
            </w:pPr>
            <w:r>
              <w:rPr>
                <w:b/>
                <w:bCs/>
                <w:color w:val="FFFFFF"/>
                <w:sz w:val="15"/>
                <w:szCs w:val="15"/>
              </w:rPr>
              <w:t xml:space="preserve">Topic</w:t>
            </w:r>
          </w:p>
        </w:tc>
        <w:tc>
          <w:tcPr>
            <w:tcW w:type="pct" w:w="2100"/>
            <w:shd w:fill="353A7C" w:val="clear"/>
            <w:tcMar>
              <w:top w:type="dxa" w:w="50"/>
              <w:left w:type="dxa" w:w="110"/>
              <w:bottom w:type="dxa" w:w="50"/>
              <w:right w:type="dxa" w:w="110"/>
            </w:tcMar>
          </w:tcPr>
          <w:p>
            <w:pPr>
              <w:spacing w:before="30" w:after="30"/>
            </w:pPr>
            <w:r>
              <w:rPr>
                <w:b/>
                <w:bCs/>
                <w:color w:val="FFFFFF"/>
                <w:sz w:val="15"/>
                <w:szCs w:val="15"/>
              </w:rPr>
              <w:t xml:space="preserve">U.S. GAAP (ASC 740)</w:t>
            </w:r>
          </w:p>
        </w:tc>
        <w:tc>
          <w:tcPr>
            <w:tcW w:type="pct" w:w="1821"/>
            <w:shd w:fill="353A7C" w:val="clear"/>
            <w:tcMar>
              <w:top w:type="dxa" w:w="50"/>
              <w:left w:type="dxa" w:w="110"/>
              <w:bottom w:type="dxa" w:w="50"/>
              <w:right w:type="dxa" w:w="110"/>
            </w:tcMar>
          </w:tcPr>
          <w:p>
            <w:pPr>
              <w:spacing w:before="30" w:after="30"/>
            </w:pPr>
            <w:r>
              <w:rPr>
                <w:b/>
                <w:bCs/>
                <w:color w:val="FFFFFF"/>
                <w:sz w:val="15"/>
                <w:szCs w:val="15"/>
              </w:rPr>
              <w:t xml:space="preserve">IFRS (IAS 12)</w:t>
            </w:r>
          </w:p>
        </w:tc>
      </w:tr>
      <w:tr>
        <w:tc>
          <w:tcPr>
            <w:tcW w:type="pct" w:w="1079"/>
            <w:tcMar>
              <w:top w:type="dxa" w:w="50"/>
              <w:left w:type="dxa" w:w="110"/>
              <w:bottom w:type="dxa" w:w="50"/>
              <w:right w:type="dxa" w:w="110"/>
            </w:tcMar>
          </w:tcPr>
          <w:p>
            <w:pPr>
              <w:spacing w:before="28" w:after="28"/>
            </w:pPr>
            <w:r>
              <w:rPr>
                <w:sz w:val="15"/>
                <w:szCs w:val="15"/>
              </w:rPr>
              <w:t xml:space="preserve">Recognizing deferred tax assets</w:t>
            </w:r>
          </w:p>
        </w:tc>
        <w:tc>
          <w:tcPr>
            <w:tcW w:type="pct" w:w="2100"/>
            <w:tcMar>
              <w:top w:type="dxa" w:w="50"/>
              <w:left w:type="dxa" w:w="110"/>
              <w:bottom w:type="dxa" w:w="50"/>
              <w:right w:type="dxa" w:w="110"/>
            </w:tcMar>
          </w:tcPr>
          <w:p>
            <w:pPr>
              <w:spacing w:before="28" w:after="28"/>
            </w:pPr>
            <w:r>
              <w:rPr>
                <w:sz w:val="15"/>
                <w:szCs w:val="15"/>
              </w:rPr>
              <w:t xml:space="preserve">Record the full DTA, then a </w:t>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if realization is not more likely than not</w:t>
            </w:r>
          </w:p>
        </w:tc>
        <w:tc>
          <w:tcPr>
            <w:tcW w:type="pct" w:w="1821"/>
            <w:tcMar>
              <w:top w:type="dxa" w:w="50"/>
              <w:left w:type="dxa" w:w="110"/>
              <w:bottom w:type="dxa" w:w="50"/>
              <w:right w:type="dxa" w:w="110"/>
            </w:tcMar>
          </w:tcPr>
          <w:p>
            <w:pPr>
              <w:spacing w:before="28" w:after="28"/>
            </w:pPr>
            <w:r>
              <w:rPr>
                <w:sz w:val="15"/>
                <w:szCs w:val="15"/>
              </w:rPr>
              <w:t xml:space="preserve">Recognize only the amount for which taxable profit is probable</w:t>
            </w:r>
          </w:p>
        </w:tc>
      </w:tr>
      <w:tr>
        <w:tc>
          <w:tcPr>
            <w:tcW w:type="pct" w:w="1079"/>
            <w:shd w:fill="FBFAF6" w:val="clear"/>
            <w:tcMar>
              <w:top w:type="dxa" w:w="50"/>
              <w:left w:type="dxa" w:w="110"/>
              <w:bottom w:type="dxa" w:w="50"/>
              <w:right w:type="dxa" w:w="110"/>
            </w:tcMar>
          </w:tcPr>
          <w:p>
            <w:pPr>
              <w:spacing w:before="28" w:after="28"/>
            </w:pPr>
            <w:r>
              <w:rPr>
                <w:sz w:val="15"/>
                <w:szCs w:val="15"/>
              </w:rPr>
              <w:t xml:space="preserve">Tax rate</w:t>
            </w:r>
          </w:p>
        </w:tc>
        <w:tc>
          <w:tcPr>
            <w:tcW w:type="pct" w:w="2100"/>
            <w:shd w:fill="FBFAF6" w:val="clear"/>
            <w:tcMar>
              <w:top w:type="dxa" w:w="50"/>
              <w:left w:type="dxa" w:w="110"/>
              <w:bottom w:type="dxa" w:w="50"/>
              <w:right w:type="dxa" w:w="110"/>
            </w:tcMar>
          </w:tcPr>
          <w:p>
            <w:pPr>
              <w:spacing w:before="28" w:after="28"/>
            </w:pPr>
            <w:r>
              <w:rPr>
                <w:sz w:val="15"/>
                <w:szCs w:val="15"/>
              </w:rPr>
              <w:t xml:space="preserve">Enacted rates only</w:t>
            </w:r>
          </w:p>
        </w:tc>
        <w:tc>
          <w:tcPr>
            <w:tcW w:type="pct" w:w="1821"/>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079"/>
            <w:tcMar>
              <w:top w:type="dxa" w:w="50"/>
              <w:left w:type="dxa" w:w="110"/>
              <w:bottom w:type="dxa" w:w="50"/>
              <w:right w:type="dxa" w:w="110"/>
            </w:tcMar>
          </w:tcPr>
          <w:p>
            <w:pPr>
              <w:spacing w:before="28" w:after="28"/>
            </w:pPr>
            <w:r>
              <w:rPr>
                <w:sz w:val="15"/>
                <w:szCs w:val="15"/>
              </w:rPr>
              <w:t xml:space="preserve">Initial recognition exemption</w:t>
            </w:r>
          </w:p>
        </w:tc>
        <w:tc>
          <w:tcPr>
            <w:tcW w:type="pct" w:w="21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821"/>
            <w:tcMar>
              <w:top w:type="dxa" w:w="50"/>
              <w:left w:type="dxa" w:w="110"/>
              <w:bottom w:type="dxa" w:w="50"/>
              <w:right w:type="dxa" w:w="110"/>
            </w:tcMar>
          </w:tcPr>
          <w:p>
            <w:pPr>
              <w:spacing w:before="28" w:after="28"/>
            </w:pPr>
            <w:r>
              <w:rPr>
                <w:sz w:val="15"/>
                <w:szCs w:val="15"/>
              </w:rPr>
              <w:t xml:space="preserve">Yes, outside business combinations (narrowed in 2021)</w:t>
            </w:r>
          </w:p>
        </w:tc>
      </w:tr>
      <w:tr>
        <w:tc>
          <w:tcPr>
            <w:tcW w:type="pct" w:w="1079"/>
            <w:shd w:fill="FBFAF6" w:val="clear"/>
            <w:tcMar>
              <w:top w:type="dxa" w:w="50"/>
              <w:left w:type="dxa" w:w="110"/>
              <w:bottom w:type="dxa" w:w="50"/>
              <w:right w:type="dxa" w:w="110"/>
            </w:tcMar>
          </w:tcPr>
          <w:p>
            <w:pPr>
              <w:spacing w:before="28" w:after="28"/>
            </w:pPr>
            <w:r>
              <w:rPr>
                <w:sz w:val="15"/>
                <w:szCs w:val="15"/>
              </w:rPr>
              <w:t xml:space="preserve">Uncertain tax positions</w:t>
            </w:r>
          </w:p>
        </w:tc>
        <w:tc>
          <w:tcPr>
            <w:tcW w:type="pct" w:w="2100"/>
            <w:shd w:fill="FBFAF6" w:val="clear"/>
            <w:tcMar>
              <w:top w:type="dxa" w:w="50"/>
              <w:left w:type="dxa" w:w="110"/>
              <w:bottom w:type="dxa" w:w="50"/>
              <w:right w:type="dxa" w:w="110"/>
            </w:tcMar>
          </w:tcPr>
          <w:p>
            <w:pPr>
              <w:spacing w:before="28" w:after="28"/>
            </w:pPr>
            <w:r>
              <w:rPr>
                <w:sz w:val="15"/>
                <w:szCs w:val="15"/>
              </w:rPr>
              <w:t xml:space="preserve">Two steps: more likely than not, then largest amount over 50% likely</w:t>
            </w:r>
          </w:p>
        </w:tc>
        <w:tc>
          <w:tcPr>
            <w:tcW w:type="pct" w:w="1821"/>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079"/>
            <w:tcMar>
              <w:top w:type="dxa" w:w="50"/>
              <w:left w:type="dxa" w:w="110"/>
              <w:bottom w:type="dxa" w:w="50"/>
              <w:right w:type="dxa" w:w="110"/>
            </w:tcMar>
          </w:tcPr>
          <w:p>
            <w:pPr>
              <w:spacing w:before="28" w:after="28"/>
            </w:pPr>
            <w:r>
              <w:rPr>
                <w:sz w:val="15"/>
                <w:szCs w:val="15"/>
              </w:rPr>
              <w:t xml:space="preserve">Balance sheet classification</w:t>
            </w:r>
          </w:p>
        </w:tc>
        <w:tc>
          <w:tcPr>
            <w:tcW w:type="pct" w:w="2100"/>
            <w:tcMar>
              <w:top w:type="dxa" w:w="50"/>
              <w:left w:type="dxa" w:w="110"/>
              <w:bottom w:type="dxa" w:w="50"/>
              <w:right w:type="dxa" w:w="110"/>
            </w:tcMar>
          </w:tcPr>
          <w:p>
            <w:pPr>
              <w:spacing w:before="28" w:after="28"/>
            </w:pPr>
            <w:r>
              <w:rPr>
                <w:sz w:val="15"/>
                <w:szCs w:val="15"/>
              </w:rPr>
              <w:t xml:space="preserve">Noncurrent</w:t>
            </w:r>
          </w:p>
        </w:tc>
        <w:tc>
          <w:tcPr>
            <w:tcW w:type="pct" w:w="1821"/>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079"/>
            <w:shd w:fill="FBFAF6" w:val="clear"/>
            <w:tcMar>
              <w:top w:type="dxa" w:w="50"/>
              <w:left w:type="dxa" w:w="110"/>
              <w:bottom w:type="dxa" w:w="50"/>
              <w:right w:type="dxa" w:w="110"/>
            </w:tcMar>
          </w:tcPr>
          <w:p>
            <w:pPr>
              <w:spacing w:before="28" w:after="28"/>
            </w:pPr>
            <w:r>
              <w:rPr>
                <w:sz w:val="15"/>
                <w:szCs w:val="15"/>
              </w:rPr>
              <w:t xml:space="preserve">Pillar Two top-up tax</w:t>
            </w:r>
          </w:p>
        </w:tc>
        <w:tc>
          <w:tcPr>
            <w:tcW w:type="pct" w:w="21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821"/>
            <w:shd w:fill="FBFAF6" w:val="clear"/>
            <w:tcMar>
              <w:top w:type="dxa" w:w="50"/>
              <w:left w:type="dxa" w:w="110"/>
              <w:bottom w:type="dxa" w:w="50"/>
              <w:right w:type="dxa" w:w="110"/>
            </w:tcMar>
          </w:tcPr>
          <w:p>
            <w:pPr>
              <w:spacing w:before="28" w:after="28"/>
            </w:pPr>
            <w:r>
              <w:rPr>
                <w:sz w:val="15"/>
                <w:szCs w:val="15"/>
              </w:rPr>
              <w:t xml:space="preserve">Mandatory exception; no deferred tax</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None in general   ·   Period cost; no deferred tax   ·   Mandatory exception; no deferred tax   ·   IFRIC 23: most likely amount or expected value   ·   valuation allowance   ·   Non-current   ·   Enacted or substantively enacted rates</w:t>
            </w:r>
          </w:p>
        </w:tc>
      </w:tr>
    </w:tbl>
    <w:p/>
    <w:p>
      <w:pPr>
        <w:spacing w:before="44" w:after="14"/>
      </w:pPr>
      <w:r>
        <w:rPr>
          <w:b/>
          <w:bCs/>
          <w:color w:val="353A7C"/>
          <w:sz w:val="18"/>
          <w:szCs w:val="18"/>
        </w:rPr>
        <w:t xml:space="preserve">Summary 2</w:t>
      </w:r>
      <w:r>
        <w:rPr>
          <w:color w:val="6B7280"/>
          <w:sz w:val="16"/>
          <w:szCs w:val="16"/>
        </w:rPr>
        <w:t xml:space="preserve">      gaps 10–16</w:t>
      </w:r>
    </w:p>
    <w:p>
      <w:pPr>
        <w:spacing w:before="20" w:after="20" w:line="360" w:lineRule="auto"/>
        <w:ind w:left="200"/>
      </w:pPr>
      <w:r>
        <w:rPr>
          <w:sz w:val="19"/>
          <w:szCs w:val="19"/>
        </w:rPr>
        <w:t xml:space="preserve">ASU 2023-09 is testable now for public companies. </w:t>
      </w:r>
      <w:r>
        <w:rPr>
          <w:sz w:val="19"/>
          <w:szCs w:val="19"/>
        </w:rPr>
        <w:t xml:space="preserve">They show a rate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 dollars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with eight standard categories, and they list separately any item of at least 5% of pretax income times the statutory rate. </w:t>
      </w:r>
      <w:r>
        <w:rPr>
          <w:sz w:val="19"/>
          <w:szCs w:val="19"/>
        </w:rPr>
        <w:t xml:space="preserve">They also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income taxes paid by federal, state and foreign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For companies that are not public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entities, ASU 2023-09 applies to annual periods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after December 15, 2025. </w:t>
      </w:r>
      <w:r>
        <w:rPr>
          <w:sz w:val="19"/>
          <w:szCs w:val="19"/>
        </w:rPr>
        <w:t xml:space="preserve">That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is not testable before about January 2027.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percentages   ·   entities   ·   version   ·   reconciliation   ·   business   ·   beginning   ·   jurisdictions   ·   disclose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'Provision for income taxes'</w:t>
            </w:r>
          </w:p>
        </w:tc>
      </w:tr>
    </w:tbl>
    <w:p/>
    <w:p>
      <w:pPr>
        <w:spacing w:before="44" w:after="14"/>
      </w:pPr>
      <w:r>
        <w:rPr>
          <w:b/>
          <w:bCs/>
          <w:color w:val="353A7C"/>
          <w:sz w:val="18"/>
          <w:szCs w:val="18"/>
        </w:rPr>
        <w:t xml:space="preserve">Summary 3</w:t>
      </w:r>
      <w:r>
        <w:rPr>
          <w:color w:val="6B7280"/>
          <w:sz w:val="16"/>
          <w:szCs w:val="16"/>
        </w:rPr>
        <w:t xml:space="preserve">      gaps 17–18</w:t>
      </w:r>
    </w:p>
    <w:p>
      <w:pPr>
        <w:spacing w:before="20" w:after="20" w:line="360" w:lineRule="auto"/>
        <w:ind w:left="200"/>
      </w:pPr>
      <w:r>
        <w:rPr>
          <w:sz w:val="19"/>
          <w:szCs w:val="19"/>
        </w:rPr>
        <w:t xml:space="preserve">U.S. companies often call income tax expense the provision for income taxes. </w:t>
      </w:r>
      <w:r>
        <w:rPr>
          <w:sz w:val="19"/>
          <w:szCs w:val="19"/>
        </w:rPr>
        <w:t xml:space="preserve">It is an expense, not an IAS 37 provision and not a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The valuation allowance is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not a liability.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federal   ·   contra-asset   ·   reserve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6"/>
        <w:gridCol w:w="477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'Provision for income taxes'</w:t>
            </w:r>
          </w:p>
        </w:tc>
      </w:tr>
      <w:tr>
        <w:tc>
          <w:tcPr>
            <w:tcW w:type="pct" w:w="2514"/>
            <w:shd w:fill="353A7C" w:val="clear"/>
            <w:tcMar>
              <w:top w:type="dxa" w:w="50"/>
              <w:left w:type="dxa" w:w="110"/>
              <w:bottom w:type="dxa" w:w="50"/>
              <w:right w:type="dxa" w:w="110"/>
            </w:tcMar>
          </w:tcPr>
          <w:p>
            <w:pPr>
              <w:spacing w:before="30" w:after="30"/>
            </w:pPr>
            <w:r>
              <w:rPr>
                <w:b/>
                <w:bCs/>
                <w:color w:val="FFFFFF"/>
                <w:sz w:val="15"/>
                <w:szCs w:val="15"/>
              </w:rPr>
              <w:t xml:space="preserve">Barada Wholesale, 2027 (whole USD)</w:t>
            </w:r>
          </w:p>
        </w:tc>
        <w:tc>
          <w:tcPr>
            <w:tcW w:type="pct" w:w="2486"/>
            <w:shd w:fill="353A7C" w:val="clear"/>
            <w:tcMar>
              <w:top w:type="dxa" w:w="50"/>
              <w:left w:type="dxa" w:w="110"/>
              <w:bottom w:type="dxa" w:w="50"/>
              <w:right w:type="dxa" w:w="110"/>
            </w:tcMar>
          </w:tcPr>
          <w:p>
            <w:pPr>
              <w:spacing w:before="30" w:after="30"/>
            </w:pPr>
            <w:r>
              <w:rPr>
                <w:b/>
                <w:bCs/>
                <w:color w:val="FFFFFF"/>
                <w:sz w:val="15"/>
                <w:szCs w:val="15"/>
              </w:rPr>
              <w:t xml:space="preserve">Amount / details</w:t>
            </w:r>
          </w:p>
        </w:tc>
      </w:tr>
      <w:tr>
        <w:tc>
          <w:tcPr>
            <w:tcW w:type="pct" w:w="2514"/>
            <w:tcMar>
              <w:top w:type="dxa" w:w="50"/>
              <w:left w:type="dxa" w:w="110"/>
              <w:bottom w:type="dxa" w:w="50"/>
              <w:right w:type="dxa" w:w="110"/>
            </w:tcMar>
          </w:tcPr>
          <w:p>
            <w:pPr>
              <w:spacing w:before="28" w:after="28"/>
            </w:pPr>
            <w:r>
              <w:rPr>
                <w:sz w:val="15"/>
                <w:szCs w:val="15"/>
              </w:rPr>
              <w:t xml:space="preserve">Income before income taxes, 2027</w:t>
            </w:r>
          </w:p>
        </w:tc>
        <w:tc>
          <w:tcPr>
            <w:tcW w:type="pct" w:w="2486"/>
            <w:tcMar>
              <w:top w:type="dxa" w:w="50"/>
              <w:left w:type="dxa" w:w="110"/>
              <w:bottom w:type="dxa" w:w="50"/>
              <w:right w:type="dxa" w:w="110"/>
            </w:tcMar>
          </w:tcPr>
          <w:p>
            <w:pPr>
              <w:spacing w:before="28" w:after="28"/>
            </w:pPr>
            <w:r>
              <w:rPr>
                <w:sz w:val="15"/>
                <w:szCs w:val="15"/>
              </w:rPr>
              <w:t xml:space="preserve">400,000</w:t>
            </w:r>
          </w:p>
        </w:tc>
      </w:tr>
      <w:tr>
        <w:tc>
          <w:tcPr>
            <w:tcW w:type="pct" w:w="2514"/>
            <w:shd w:fill="FBFAF6" w:val="clear"/>
            <w:tcMar>
              <w:top w:type="dxa" w:w="50"/>
              <w:left w:type="dxa" w:w="110"/>
              <w:bottom w:type="dxa" w:w="50"/>
              <w:right w:type="dxa" w:w="110"/>
            </w:tcMar>
          </w:tcPr>
          <w:p>
            <w:pPr>
              <w:spacing w:before="28" w:after="28"/>
            </w:pPr>
            <w:r>
              <w:rPr>
                <w:sz w:val="15"/>
                <w:szCs w:val="15"/>
              </w:rPr>
              <w:t xml:space="preserve">Tax-exempt municipal bond interest included in income</w:t>
            </w:r>
          </w:p>
        </w:tc>
        <w:tc>
          <w:tcPr>
            <w:tcW w:type="pct" w:w="2486"/>
            <w:shd w:fill="FBFAF6" w:val="clear"/>
            <w:tcMar>
              <w:top w:type="dxa" w:w="50"/>
              <w:left w:type="dxa" w:w="110"/>
              <w:bottom w:type="dxa" w:w="50"/>
              <w:right w:type="dxa" w:w="110"/>
            </w:tcMar>
          </w:tcPr>
          <w:p>
            <w:pPr>
              <w:spacing w:before="28" w:after="28"/>
            </w:pPr>
            <w:r>
              <w:rPr>
                <w:sz w:val="15"/>
                <w:szCs w:val="15"/>
              </w:rPr>
              <w:t xml:space="preserve">12,000</w:t>
            </w:r>
          </w:p>
        </w:tc>
      </w:tr>
      <w:tr>
        <w:tc>
          <w:tcPr>
            <w:tcW w:type="pct" w:w="2514"/>
            <w:tcMar>
              <w:top w:type="dxa" w:w="50"/>
              <w:left w:type="dxa" w:w="110"/>
              <w:bottom w:type="dxa" w:w="50"/>
              <w:right w:type="dxa" w:w="110"/>
            </w:tcMar>
          </w:tcPr>
          <w:p>
            <w:pPr>
              <w:spacing w:before="28" w:after="28"/>
            </w:pPr>
            <w:r>
              <w:rPr>
                <w:sz w:val="15"/>
                <w:szCs w:val="15"/>
              </w:rPr>
              <w:t xml:space="preserve">Fine for a late customs filing (not deductible)</w:t>
            </w:r>
          </w:p>
        </w:tc>
        <w:tc>
          <w:tcPr>
            <w:tcW w:type="pct" w:w="2486"/>
            <w:tcMar>
              <w:top w:type="dxa" w:w="50"/>
              <w:left w:type="dxa" w:w="110"/>
              <w:bottom w:type="dxa" w:w="50"/>
              <w:right w:type="dxa" w:w="110"/>
            </w:tcMar>
          </w:tcPr>
          <w:p>
            <w:pPr>
              <w:spacing w:before="28" w:after="28"/>
            </w:pPr>
            <w:r>
              <w:rPr>
                <w:sz w:val="15"/>
                <w:szCs w:val="15"/>
              </w:rPr>
              <w:t xml:space="preserve">6,000</w:t>
            </w:r>
          </w:p>
        </w:tc>
      </w:tr>
      <w:tr>
        <w:tc>
          <w:tcPr>
            <w:tcW w:type="pct" w:w="2514"/>
            <w:shd w:fill="FBFAF6" w:val="clear"/>
            <w:tcMar>
              <w:top w:type="dxa" w:w="50"/>
              <w:left w:type="dxa" w:w="110"/>
              <w:bottom w:type="dxa" w:w="50"/>
              <w:right w:type="dxa" w:w="110"/>
            </w:tcMar>
          </w:tcPr>
          <w:p>
            <w:pPr>
              <w:spacing w:before="28" w:after="28"/>
            </w:pPr>
            <w:r>
              <w:rPr>
                <w:sz w:val="15"/>
                <w:szCs w:val="15"/>
              </w:rPr>
              <w:t xml:space="preserve">Tax depreciation above book depreciation in 2027</w:t>
            </w:r>
          </w:p>
        </w:tc>
        <w:tc>
          <w:tcPr>
            <w:tcW w:type="pct" w:w="2486"/>
            <w:shd w:fill="FBFAF6" w:val="clear"/>
            <w:tcMar>
              <w:top w:type="dxa" w:w="50"/>
              <w:left w:type="dxa" w:w="110"/>
              <w:bottom w:type="dxa" w:w="50"/>
              <w:right w:type="dxa" w:w="110"/>
            </w:tcMar>
          </w:tcPr>
          <w:p>
            <w:pPr>
              <w:spacing w:before="28" w:after="28"/>
            </w:pPr>
            <w:r>
              <w:rPr>
                <w:sz w:val="15"/>
                <w:szCs w:val="15"/>
              </w:rPr>
              <w:t xml:space="preserve">60,000</w:t>
            </w:r>
          </w:p>
        </w:tc>
      </w:tr>
      <w:tr>
        <w:tc>
          <w:tcPr>
            <w:tcW w:type="pct" w:w="2514"/>
            <w:tcMar>
              <w:top w:type="dxa" w:w="50"/>
              <w:left w:type="dxa" w:w="110"/>
              <w:bottom w:type="dxa" w:w="50"/>
              <w:right w:type="dxa" w:w="110"/>
            </w:tcMar>
          </w:tcPr>
          <w:p>
            <w:pPr>
              <w:spacing w:before="28" w:after="28"/>
            </w:pPr>
            <w:r>
              <w:rPr>
                <w:sz w:val="15"/>
                <w:szCs w:val="15"/>
              </w:rPr>
              <w:t xml:space="preserve">Warranty liability at December 31, 2027 (Chapter 12 case); repairs are deductible when paid</w:t>
            </w:r>
          </w:p>
        </w:tc>
        <w:tc>
          <w:tcPr>
            <w:tcW w:type="pct" w:w="2486"/>
            <w:tcMar>
              <w:top w:type="dxa" w:w="50"/>
              <w:left w:type="dxa" w:w="110"/>
              <w:bottom w:type="dxa" w:w="50"/>
              <w:right w:type="dxa" w:w="110"/>
            </w:tcMar>
          </w:tcPr>
          <w:p>
            <w:pPr>
              <w:spacing w:before="28" w:after="28"/>
            </w:pPr>
            <w:r>
              <w:rPr>
                <w:sz w:val="15"/>
                <w:szCs w:val="15"/>
              </w:rPr>
              <w:t xml:space="preserve">18,000</w:t>
            </w:r>
          </w:p>
        </w:tc>
      </w:tr>
      <w:tr>
        <w:tc>
          <w:tcPr>
            <w:tcW w:type="pct" w:w="2514"/>
            <w:shd w:fill="FBFAF6" w:val="clear"/>
            <w:tcMar>
              <w:top w:type="dxa" w:w="50"/>
              <w:left w:type="dxa" w:w="110"/>
              <w:bottom w:type="dxa" w:w="50"/>
              <w:right w:type="dxa" w:w="110"/>
            </w:tcMar>
          </w:tcPr>
          <w:p>
            <w:pPr>
              <w:spacing w:before="28" w:after="28"/>
            </w:pPr>
            <w:r>
              <w:rPr>
                <w:sz w:val="15"/>
                <w:szCs w:val="15"/>
              </w:rPr>
              <w:t xml:space="preserve">M1</w:t>
            </w:r>
          </w:p>
        </w:tc>
        <w:tc>
          <w:tcPr>
            <w:tcW w:type="pct" w:w="2486"/>
            <w:shd w:fill="FBFAF6" w:val="clear"/>
            <w:tcMar>
              <w:top w:type="dxa" w:w="50"/>
              <w:left w:type="dxa" w:w="110"/>
              <w:bottom w:type="dxa" w:w="50"/>
              <w:right w:type="dxa" w:w="110"/>
            </w:tcMar>
          </w:tcPr>
          <w:p>
            <w:pPr>
              <w:spacing w:before="28" w:after="28"/>
            </w:pPr>
            <w:r>
              <w:rPr>
                <w:sz w:val="15"/>
                <w:szCs w:val="15"/>
              </w:rPr>
              <w:t xml:space="preserve">The enacted combined tax rate is 25% for 2027 and all later years.</w:t>
            </w:r>
          </w:p>
        </w:tc>
      </w:tr>
      <w:tr>
        <w:tc>
          <w:tcPr>
            <w:tcW w:type="pct" w:w="2514"/>
            <w:tcMar>
              <w:top w:type="dxa" w:w="50"/>
              <w:left w:type="dxa" w:w="110"/>
              <w:bottom w:type="dxa" w:w="50"/>
              <w:right w:type="dxa" w:w="110"/>
            </w:tcMar>
          </w:tcPr>
          <w:p>
            <w:pPr>
              <w:spacing w:before="28" w:after="28"/>
            </w:pPr>
            <w:r>
              <w:rPr>
                <w:sz w:val="15"/>
                <w:szCs w:val="15"/>
              </w:rPr>
              <w:t xml:space="preserve">M2</w:t>
            </w:r>
          </w:p>
        </w:tc>
        <w:tc>
          <w:tcPr>
            <w:tcW w:type="pct" w:w="2486"/>
            <w:tcMar>
              <w:top w:type="dxa" w:w="50"/>
              <w:left w:type="dxa" w:w="110"/>
              <w:bottom w:type="dxa" w:w="50"/>
              <w:right w:type="dxa" w:w="110"/>
            </w:tcMar>
          </w:tcPr>
          <w:p>
            <w:pPr>
              <w:spacing w:before="28" w:after="28"/>
            </w:pPr>
            <w:r>
              <w:rPr>
                <w:sz w:val="15"/>
                <w:szCs w:val="15"/>
              </w:rPr>
              <w:t xml:space="preserve">Barada had no temporary differences at January 1, 2027. All deferred taxes are in one tax </w:t>
            </w:r>
            <w:r>
              <w:rPr>
                <w:b/>
                <w:bCs/>
                <w:color w:val="8186EF"/>
                <w:sz w:val="14"/>
                <w:szCs w:val="14"/>
              </w:rPr>
              <w:t xml:space="preserve"> (19) </w:t>
            </w:r>
            <w:r>
              <w:rPr>
                <w:u w:val="single"/>
                <w:sz w:val="15"/>
                <w:szCs w:val="15"/>
              </w:rPr>
              <w:t xml:space="preserve">              </w:t>
            </w:r>
            <w:r>
              <w:rPr>
                <w:sz w:val="15"/>
                <w:szCs w:val="15"/>
              </w:rPr>
              <w:t xml:space="preserve"> </w:t>
            </w:r>
            <w:r>
              <w:rPr>
                <w:sz w:val="15"/>
                <w:szCs w:val="15"/>
              </w:rPr>
              <w:t xml:space="preserve">.</w:t>
            </w:r>
          </w:p>
        </w:tc>
      </w:tr>
      <w:tr>
        <w:tc>
          <w:tcPr>
            <w:tcW w:type="pct" w:w="2514"/>
            <w:shd w:fill="FBFAF6" w:val="clear"/>
            <w:tcMar>
              <w:top w:type="dxa" w:w="50"/>
              <w:left w:type="dxa" w:w="110"/>
              <w:bottom w:type="dxa" w:w="50"/>
              <w:right w:type="dxa" w:w="110"/>
            </w:tcMar>
          </w:tcPr>
          <w:p>
            <w:pPr>
              <w:spacing w:before="28" w:after="28"/>
            </w:pPr>
            <w:r>
              <w:rPr>
                <w:sz w:val="15"/>
                <w:szCs w:val="15"/>
              </w:rPr>
              <w:t xml:space="preserve">M3</w:t>
            </w:r>
          </w:p>
        </w:tc>
        <w:tc>
          <w:tcPr>
            <w:tcW w:type="pct" w:w="2486"/>
            <w:shd w:fill="FBFAF6" w:val="clear"/>
            <w:tcMar>
              <w:top w:type="dxa" w:w="50"/>
              <w:left w:type="dxa" w:w="110"/>
              <w:bottom w:type="dxa" w:w="50"/>
              <w:right w:type="dxa" w:w="110"/>
            </w:tcMar>
          </w:tcPr>
          <w:p>
            <w:pPr>
              <w:spacing w:before="28" w:after="28"/>
            </w:pPr>
            <w:r>
              <w:rPr>
                <w:sz w:val="15"/>
                <w:szCs w:val="15"/>
              </w:rPr>
              <w:t xml:space="preserve">Barada has been profitable for many years and expects to stay profitable.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jurisdiction   ·   profitable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Warranty expense accrued now</w:t>
            </w:r>
          </w:p>
        </w:tc>
        <w:tc>
          <w:tcPr>
            <w:tcW w:type="pct" w:w="2600"/>
            <w:tcMar>
              <w:top w:type="dxa" w:w="50"/>
              <w:left w:type="dxa" w:w="110"/>
              <w:bottom w:type="dxa" w:w="50"/>
              <w:right w:type="dxa" w:w="110"/>
            </w:tcMar>
          </w:tcPr>
          <w:p>
            <w:pPr>
              <w:spacing w:before="28" w:after="28"/>
            </w:pPr>
            <w:r>
              <w:rPr>
                <w:sz w:val="15"/>
                <w:szCs w:val="15"/>
              </w:rPr>
              <w:t xml:space="preserve">Temporary, deductible: DTA</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Fine for breaking the law</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400"/>
            <w:tcMar>
              <w:top w:type="dxa" w:w="50"/>
              <w:left w:type="dxa" w:w="110"/>
              <w:bottom w:type="dxa" w:w="50"/>
              <w:right w:type="dxa" w:w="110"/>
            </w:tcMar>
          </w:tcPr>
          <w:p>
            <w:pPr>
              <w:spacing w:before="28" w:after="28"/>
            </w:pPr>
            <w:r>
              <w:rPr>
                <w:sz w:val="15"/>
                <w:szCs w:val="15"/>
              </w:rPr>
              <w:t xml:space="preserve">Rent received in advance</w:t>
            </w:r>
          </w:p>
        </w:tc>
        <w:tc>
          <w:tcPr>
            <w:tcW w:type="pct" w:w="2600"/>
            <w:tcMar>
              <w:top w:type="dxa" w:w="50"/>
              <w:left w:type="dxa" w:w="110"/>
              <w:bottom w:type="dxa" w:w="50"/>
              <w:right w:type="dxa" w:w="110"/>
            </w:tcMar>
          </w:tcPr>
          <w:p>
            <w:pPr>
              <w:spacing w:before="28" w:after="28"/>
            </w:pPr>
            <w:r>
              <w:rPr>
                <w:sz w:val="15"/>
                <w:szCs w:val="15"/>
              </w:rPr>
              <w:t xml:space="preserve">Temporary, deductible (taxed now, earned later): DTA</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Equity-method income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Temporary, taxable (taxed later): DTL   ·   Permanent: no deferred tax   ·   Barada Wholesale, 2027 (whole USD)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18"/>
        <w:gridCol w:w="498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Category</w:t>
            </w:r>
          </w:p>
        </w:tc>
      </w:tr>
      <w:tr>
        <w:tc>
          <w:tcPr>
            <w:tcW w:type="pct" w:w="2405"/>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595"/>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405"/>
            <w:tcMar>
              <w:top w:type="dxa" w:w="50"/>
              <w:left w:type="dxa" w:w="110"/>
              <w:bottom w:type="dxa" w:w="50"/>
              <w:right w:type="dxa" w:w="110"/>
            </w:tcMar>
          </w:tcPr>
          <w:p>
            <w:pPr>
              <w:spacing w:before="28" w:after="28"/>
            </w:pPr>
            <w:r>
              <w:rPr>
                <w:sz w:val="15"/>
                <w:szCs w:val="15"/>
              </w:rPr>
              <w:t xml:space="preserve">Municipal bond interest</w:t>
            </w:r>
          </w:p>
        </w:tc>
        <w:tc>
          <w:tcPr>
            <w:tcW w:type="pct" w:w="2595"/>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405"/>
            <w:shd w:fill="FBFAF6" w:val="clear"/>
            <w:tcMar>
              <w:top w:type="dxa" w:w="50"/>
              <w:left w:type="dxa" w:w="110"/>
              <w:bottom w:type="dxa" w:w="50"/>
              <w:right w:type="dxa" w:w="110"/>
            </w:tcMar>
          </w:tcPr>
          <w:p>
            <w:pPr>
              <w:spacing w:before="28" w:after="28"/>
            </w:pPr>
            <w:r>
              <w:rPr>
                <w:sz w:val="15"/>
                <w:szCs w:val="15"/>
              </w:rPr>
              <w:t xml:space="preserve">Late-filing fine</w:t>
            </w:r>
          </w:p>
        </w:tc>
        <w:tc>
          <w:tcPr>
            <w:tcW w:type="pct" w:w="2595"/>
            <w:shd w:fill="FBFAF6" w:val="clear"/>
            <w:tcMar>
              <w:top w:type="dxa" w:w="50"/>
              <w:left w:type="dxa" w:w="110"/>
              <w:bottom w:type="dxa" w:w="50"/>
              <w:right w:type="dxa" w:w="110"/>
            </w:tcMar>
          </w:tcPr>
          <w:p>
            <w:pPr>
              <w:spacing w:before="28" w:after="28"/>
            </w:pPr>
            <w:r>
              <w:rPr>
                <w:sz w:val="15"/>
                <w:szCs w:val="15"/>
              </w:rPr>
              <w:t xml:space="preserve">Permanent difference</w:t>
            </w:r>
          </w:p>
        </w:tc>
      </w:tr>
      <w:tr>
        <w:tc>
          <w:tcPr>
            <w:tcW w:type="pct" w:w="2405"/>
            <w:tcMar>
              <w:top w:type="dxa" w:w="50"/>
              <w:left w:type="dxa" w:w="110"/>
              <w:bottom w:type="dxa" w:w="50"/>
              <w:right w:type="dxa" w:w="110"/>
            </w:tcMar>
          </w:tcPr>
          <w:p>
            <w:pPr>
              <w:spacing w:before="28" w:after="28"/>
            </w:pPr>
            <w:r>
              <w:rPr>
                <w:sz w:val="15"/>
                <w:szCs w:val="15"/>
              </w:rPr>
              <w:t xml:space="preserve">Tax depreciation above book</w:t>
            </w:r>
          </w:p>
        </w:tc>
        <w:tc>
          <w:tcPr>
            <w:tcW w:type="pct" w:w="2595"/>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405"/>
            <w:shd w:fill="FBFAF6" w:val="clear"/>
            <w:tcMar>
              <w:top w:type="dxa" w:w="50"/>
              <w:left w:type="dxa" w:w="110"/>
              <w:bottom w:type="dxa" w:w="50"/>
              <w:right w:type="dxa" w:w="110"/>
            </w:tcMar>
          </w:tcPr>
          <w:p>
            <w:pPr>
              <w:spacing w:before="28" w:after="28"/>
            </w:pPr>
            <w:r>
              <w:rPr>
                <w:sz w:val="15"/>
                <w:szCs w:val="15"/>
              </w:rPr>
              <w:t xml:space="preserve">Warranty liability</w:t>
            </w:r>
          </w:p>
        </w:tc>
        <w:tc>
          <w:tcPr>
            <w:tcW w:type="pct" w:w="2595"/>
            <w:shd w:fill="FFFFFF" w:val="clear"/>
            <w:tcMar>
              <w:top w:type="dxa" w:w="50"/>
              <w:left w:type="dxa" w:w="110"/>
              <w:bottom w:type="dxa" w:w="50"/>
              <w:right w:type="dxa" w:w="110"/>
            </w:tcMar>
          </w:tcPr>
          <w:p>
            <w:pPr>
              <w:spacing w:before="46" w:after="46"/>
            </w:pPr>
            <w:r>
              <w:rPr>
                <w:b/>
                <w:bCs/>
                <w:color w:val="8186EF"/>
                <w:sz w:val="14"/>
                <w:szCs w:val="14"/>
              </w:rPr>
              <w:t xml:space="preserve">(24)</w:t>
            </w:r>
          </w:p>
        </w:tc>
      </w:tr>
      <w:tr>
        <w:tc>
          <w:tcPr>
            <w:tcW w:type="pct" w:w="2405"/>
            <w:tcMar>
              <w:top w:type="dxa" w:w="50"/>
              <w:left w:type="dxa" w:w="110"/>
              <w:bottom w:type="dxa" w:w="50"/>
              <w:right w:type="dxa" w:w="110"/>
            </w:tcMar>
          </w:tcPr>
          <w:p>
            <w:pPr>
              <w:spacing w:before="28" w:after="28"/>
            </w:pPr>
            <w:r>
              <w:rPr>
                <w:sz w:val="15"/>
                <w:szCs w:val="15"/>
              </w:rPr>
              <w:t xml:space="preserve">Rent received in advance</w:t>
            </w:r>
          </w:p>
        </w:tc>
        <w:tc>
          <w:tcPr>
            <w:tcW w:type="pct" w:w="2595"/>
            <w:tcMar>
              <w:top w:type="dxa" w:w="50"/>
              <w:left w:type="dxa" w:w="110"/>
              <w:bottom w:type="dxa" w:w="50"/>
              <w:right w:type="dxa" w:w="110"/>
            </w:tcMar>
          </w:tcPr>
          <w:p>
            <w:pPr>
              <w:spacing w:before="28" w:after="28"/>
            </w:pPr>
            <w:r>
              <w:rPr>
                <w:sz w:val="15"/>
                <w:szCs w:val="15"/>
              </w:rPr>
              <w:t xml:space="preserve">Deductible temporary difference (DTA)</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Taxable temporary difference (DTL)   ·   Deductible temporary difference (DTA)   ·   Amount / details   ·   Permanent difference</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13.5  IFRS differences and disclosures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deferred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jurisdictions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recognizes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valuation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valuation allowance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version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Enacted or substantively enacted rates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reserve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None in general</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contra-asset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IFRIC 23: most likely amount or expected value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jurisdiction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Non-current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Permanent: no deferred tax</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Period cost; no deferred tax</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Temporary, taxable (taxed later): DTL</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Permanent 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percentages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Taxable temporary difference (DTL)</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disclose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Deductible temporary difference (DTA)</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biggest one for the exam is the deferred tax asset: IFRS recognizes only the amount it is probable to use, while U.S. GAAP records the full asset and a separate valuation allowance.</w:t>
      </w:r>
    </w:p>
    <w:p>
      <w:pPr>
        <w:spacing w:before="20" w:after="20"/>
        <w:ind w:left="240" w:hanging="240"/>
      </w:pPr>
      <w:r>
        <w:rPr>
          <w:b/>
          <w:bCs/>
          <w:color w:val="353A7C"/>
          <w:sz w:val="15"/>
          <w:szCs w:val="15"/>
        </w:rPr>
        <w:t xml:space="preserve">Summary 2   </w:t>
      </w:r>
      <w:r>
        <w:rPr>
          <w:color w:val="6B7280"/>
          <w:sz w:val="15"/>
          <w:szCs w:val="15"/>
        </w:rPr>
        <w:t xml:space="preserve">ASU 2023-09 is testable now for public companies. They show a rate reconciliation in dollars and percentages with eight standard categories, and they list separately any item of at least 5% of pretax income times the statutory rate. They also disclose income taxes paid by federal, state and foreign jurisdictions. For companies that are not public business entities, ASU 2023-09 applies to annual periods beginning after December 15, 2025. That version is not testable before about January 2027.</w:t>
      </w:r>
    </w:p>
    <w:p>
      <w:pPr>
        <w:spacing w:before="20" w:after="20"/>
        <w:ind w:left="240" w:hanging="240"/>
      </w:pPr>
      <w:r>
        <w:rPr>
          <w:b/>
          <w:bCs/>
          <w:color w:val="353A7C"/>
          <w:sz w:val="15"/>
          <w:szCs w:val="15"/>
        </w:rPr>
        <w:t xml:space="preserve">Summary 3   </w:t>
      </w:r>
      <w:r>
        <w:rPr>
          <w:color w:val="6B7280"/>
          <w:sz w:val="15"/>
          <w:szCs w:val="15"/>
        </w:rPr>
        <w:t xml:space="preserve">U.S. companies often call income tax expense the provision for income taxes. It is an expense, not an IAS 37 provision and not a reserve. The valuation allowance is a contra-asset, not a liability.</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13.1 · Why book income and taxable income differ</w:t>
          </w:r>
        </w:p>
      </w:tc>
      <w:tc>
        <w:tcPr>
          <w:tcW w:type="pct" w:w="1400"/>
          <w:tcMar>
            <w:top w:type="dxa" w:w="-30"/>
            <w:left w:type="dxa" w:w="30"/>
            <w:bottom w:type="dxa" w:w="-30"/>
            <w:right w:type="dxa" w:w="30"/>
          </w:tcMar>
        </w:tcPr>
        <w:p>
          <w:pPr>
            <w:jc w:val="right"/>
          </w:pPr>
          <w:r>
            <w:rPr>
              <w:color w:val="6B7280"/>
              <w:sz w:val="16"/>
              <w:szCs w:val="16"/>
            </w:rPr>
            <w:t xml:space="preserve">Handout 13.1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13.2 · Temporary and permanent differences</w:t>
          </w:r>
        </w:p>
      </w:tc>
      <w:tc>
        <w:tcPr>
          <w:tcW w:type="pct" w:w="1400"/>
          <w:tcMar>
            <w:top w:type="dxa" w:w="-30"/>
            <w:left w:type="dxa" w:w="30"/>
            <w:bottom w:type="dxa" w:w="-30"/>
            <w:right w:type="dxa" w:w="30"/>
          </w:tcMar>
        </w:tcPr>
        <w:p>
          <w:pPr>
            <w:jc w:val="right"/>
          </w:pPr>
          <w:r>
            <w:rPr>
              <w:color w:val="6B7280"/>
              <w:sz w:val="16"/>
              <w:szCs w:val="16"/>
            </w:rPr>
            <w:t xml:space="preserve">Handout 13.2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13.3 · Measuring current and deferred taxes</w:t>
          </w:r>
        </w:p>
      </w:tc>
      <w:tc>
        <w:tcPr>
          <w:tcW w:type="pct" w:w="1400"/>
          <w:tcMar>
            <w:top w:type="dxa" w:w="-30"/>
            <w:left w:type="dxa" w:w="30"/>
            <w:bottom w:type="dxa" w:w="-30"/>
            <w:right w:type="dxa" w:w="30"/>
          </w:tcMar>
        </w:tcPr>
        <w:p>
          <w:pPr>
            <w:jc w:val="right"/>
          </w:pPr>
          <w:r>
            <w:rPr>
              <w:color w:val="6B7280"/>
              <w:sz w:val="16"/>
              <w:szCs w:val="16"/>
            </w:rPr>
            <w:t xml:space="preserve">Handout 13.3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13.4 · Rate changes, valuation allowances, losses and presentation</w:t>
          </w:r>
        </w:p>
      </w:tc>
      <w:tc>
        <w:tcPr>
          <w:tcW w:type="pct" w:w="1400"/>
          <w:tcMar>
            <w:top w:type="dxa" w:w="-30"/>
            <w:left w:type="dxa" w:w="30"/>
            <w:bottom w:type="dxa" w:w="-30"/>
            <w:right w:type="dxa" w:w="30"/>
          </w:tcMar>
        </w:tcPr>
        <w:p>
          <w:pPr>
            <w:jc w:val="right"/>
          </w:pPr>
          <w:r>
            <w:rPr>
              <w:color w:val="6B7280"/>
              <w:sz w:val="16"/>
              <w:szCs w:val="16"/>
            </w:rPr>
            <w:t xml:space="preserve">Handout 13.4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13.5 · IFRS differences and disclosures</w:t>
          </w:r>
        </w:p>
      </w:tc>
      <w:tc>
        <w:tcPr>
          <w:tcW w:type="pct" w:w="1400"/>
          <w:tcMar>
            <w:top w:type="dxa" w:w="-30"/>
            <w:left w:type="dxa" w:w="30"/>
            <w:bottom w:type="dxa" w:w="-30"/>
            <w:right w:type="dxa" w:w="30"/>
          </w:tcMar>
        </w:tcPr>
        <w:p>
          <w:pPr>
            <w:jc w:val="right"/>
          </w:pPr>
          <w:r>
            <w:rPr>
              <w:color w:val="6B7280"/>
              <w:sz w:val="16"/>
              <w:szCs w:val="16"/>
            </w:rPr>
            <w:t xml:space="preserve">Handout 13.5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3f21923d0500c9882b696bf4c4cf6d35482aaf16.png" Type="http://schemas.openxmlformats.org/officeDocument/2006/relationships/image"/><Relationship Id="rId102" Target="media/e48f8ad27f65f10da9448b0b5d8b31c8c6afc0a5.png" Type="http://schemas.openxmlformats.org/officeDocument/2006/relationships/image"/><Relationship Id="rId103" Target="media/381c77044ec6067b4239f980c7e6f0d8011180e1.png" Type="http://schemas.openxmlformats.org/officeDocument/2006/relationships/image"/><Relationship Id="rId104" Target="media/f700317ec38426027e3b8f10f2b3c138ab56527f.png" Type="http://schemas.openxmlformats.org/officeDocument/2006/relationships/image"/><Relationship Id="rId105" Target="media/0ef6117bfdbcc52e5e01d0c9e96b7d98c3e71eb8.png" Type="http://schemas.openxmlformats.org/officeDocument/2006/relationships/image"/><Relationship Id="rId106" Target="media/dd26119acf80ffcc1d3c737b9abdc6478f03df0d.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13</dc:title>
  <dc:subject>Summary handouts</dc:subject>
  <cp:category>Student Book</cp:category>
</cp:coreProperties>
</file>