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7.1 · Which goods are ours</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No</w:t>
            </w:r>
          </w:p>
        </w:tc>
        <w:tc>
          <w:tcPr>
            <w:tcW w:type="pct" w:w="1650"/>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add 500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Raw materials, work in process, finished goods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subtract 800</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The buyer</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FOB shipping point: the buyer. FOB destination: the seller.</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add 300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The seller</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It misses our goods held elsewhere; it wrongly includes other people’s goods held by us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adjusted count 8,500</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The consignor includes them; the consignee never does</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Add: bought FOB shipping point; sold FOB destination; ours with a consignee</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Add — a consignor keeps consigned goods in its own inventory.</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They must be taken out of it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Subtract: held in our warehouse for another company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In transit: FOB shipping point, the buyer includes them; FOB destination, the seller does. On consignment: the consignor includes them, the consignee never does. Held for someone else: other people’s goods come out of the count, our goods held elsewhere go in.</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They must be added to it</w:t>
            </w:r>
          </w:p>
        </w:tc>
        <w:tc>
          <w:tcPr>
            <w:tcW w:type="pct" w:w="1650"/>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No adjustment: goods we hold as consignee were never ours to count</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The count records what is standing in the building, but the rule is control on the year-end date, wherever the goods are. So it will miss goods in transit that are already ours under FOB shipping point, and goods of ours sitting with a consignee. It will also wrongly include anything in the building that belongs to somebody else. What is needed is a memo listing every shipment in transit with its FOB term, and every consignment in either direction.</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We are the consignor, so goods with a consignee are still ours</w:t>
            </w:r>
          </w:p>
        </w:tc>
        <w:tc>
          <w:tcPr>
            <w:tcW w:type="pct" w:w="1650"/>
            <w:tcMar>
              <w:top w:type="dxa" w:w="40"/>
              <w:left w:type="dxa" w:w="100"/>
              <w:bottom w:type="dxa" w:w="40"/>
              <w:right w:type="dxa" w:w="100"/>
            </w:tcMar>
          </w:tcPr>
          <w:p>
            <w:r>
              <w:rPr>
                <w:sz w:val="16"/>
                <w:szCs w:val="16"/>
              </w:rPr>
              <w:t xml:space="preserve"/>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50"/>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add 1,000</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The basic rule is simple: include the goods that the company controls on the balance sheet date, wherever they are. Control usually follows legal title.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rule is control, wherever the goods are. Goods in the warehouse that belong to another company must be taken out of the count.</w:t>
      </w:r>
    </w:p>
    <w:p>
      <w:pPr>
        <w:spacing w:after="18"/>
        <w:ind w:left="300" w:hanging="300"/>
      </w:pPr>
      <w:r>
        <w:rPr>
          <w:b/>
          <w:bCs/>
          <w:color w:val="8186EF"/>
          <w:sz w:val="16"/>
          <w:szCs w:val="16"/>
        </w:rPr>
        <w:t xml:space="preserve">2  </w:t>
      </w:r>
      <w:r>
        <w:rPr>
          <w:sz w:val="16"/>
          <w:szCs w:val="16"/>
        </w:rPr>
        <w:t xml:space="preserve">A retailer has one inventory account; a manufacturer has three.</w:t>
      </w:r>
    </w:p>
    <w:p>
      <w:pPr>
        <w:spacing w:after="18"/>
        <w:ind w:left="300" w:hanging="300"/>
      </w:pPr>
      <w:r>
        <w:rPr>
          <w:b/>
          <w:bCs/>
          <w:color w:val="8186EF"/>
          <w:sz w:val="16"/>
          <w:szCs w:val="16"/>
        </w:rPr>
        <w:t xml:space="preserve">3  </w:t>
      </w:r>
      <w:r>
        <w:rPr>
          <w:sz w:val="16"/>
          <w:szCs w:val="16"/>
        </w:rPr>
        <w:t xml:space="preserve">Control passes to the buyer when the goods leave the seller.</w:t>
      </w:r>
    </w:p>
    <w:p>
      <w:pPr>
        <w:spacing w:after="18"/>
        <w:ind w:left="300" w:hanging="300"/>
      </w:pPr>
      <w:r>
        <w:rPr>
          <w:b/>
          <w:bCs/>
          <w:color w:val="8186EF"/>
          <w:sz w:val="16"/>
          <w:szCs w:val="16"/>
        </w:rPr>
        <w:t xml:space="preserve">4  </w:t>
      </w:r>
      <w:r>
        <w:rPr>
          <w:sz w:val="16"/>
          <w:szCs w:val="16"/>
        </w:rPr>
        <w:t xml:space="preserve">The seller keeps control until the goods arrive.</w:t>
      </w:r>
    </w:p>
    <w:p>
      <w:pPr>
        <w:spacing w:after="18"/>
        <w:ind w:left="300" w:hanging="300"/>
      </w:pPr>
      <w:r>
        <w:rPr>
          <w:b/>
          <w:bCs/>
          <w:color w:val="8186EF"/>
          <w:sz w:val="16"/>
          <w:szCs w:val="16"/>
        </w:rPr>
        <w:t xml:space="preserve">5  </w:t>
      </w:r>
      <w:r>
        <w:rPr>
          <w:sz w:val="16"/>
          <w:szCs w:val="16"/>
        </w:rPr>
        <w:t xml:space="preserve">The goods stay in the consignor’s inventory, even though they sit in the consignee’s shop.</w:t>
      </w:r>
    </w:p>
    <w:p>
      <w:pPr>
        <w:spacing w:after="18"/>
        <w:ind w:left="300" w:hanging="300"/>
      </w:pPr>
      <w:r>
        <w:rPr>
          <w:b/>
          <w:bCs/>
          <w:color w:val="8186EF"/>
          <w:sz w:val="16"/>
          <w:szCs w:val="16"/>
        </w:rPr>
        <w:t xml:space="preserve">9  </w:t>
      </w:r>
      <w:r>
        <w:rPr>
          <w:sz w:val="16"/>
          <w:szCs w:val="16"/>
        </w:rPr>
        <w:t xml:space="preserve">Under FOB shipping point, control passes to the buyer when the goods leave the seller. The seller keeps goods in transit only under FOB destination, and goods are never split between two inventories.</w:t>
      </w:r>
    </w:p>
    <w:p>
      <w:pPr>
        <w:spacing w:after="18"/>
        <w:ind w:left="300" w:hanging="300"/>
      </w:pPr>
      <w:r>
        <w:rPr>
          <w:b/>
          <w:bCs/>
          <w:color w:val="8186EF"/>
          <w:sz w:val="16"/>
          <w:szCs w:val="16"/>
        </w:rPr>
        <w:t xml:space="preserve">10  </w:t>
      </w:r>
      <w:r>
        <w:rPr>
          <w:sz w:val="16"/>
          <w:szCs w:val="16"/>
        </w:rPr>
        <w:t xml:space="preserve">Orontes is the consignor and still owns the goods. Barada, the consignee, never includes them.</w:t>
      </w:r>
    </w:p>
    <w:p>
      <w:pPr>
        <w:spacing w:after="18"/>
        <w:ind w:left="300" w:hanging="300"/>
      </w:pPr>
      <w:r>
        <w:rPr>
          <w:b/>
          <w:bCs/>
          <w:color w:val="8186EF"/>
          <w:sz w:val="16"/>
          <w:szCs w:val="16"/>
        </w:rPr>
        <w:t xml:space="preserve">11  </w:t>
      </w:r>
      <w:r>
        <w:rPr>
          <w:sz w:val="16"/>
          <w:szCs w:val="16"/>
        </w:rPr>
        <w:t xml:space="preserve">Under FOB destination the seller keeps control until arrival, so the goods are still its inventory and no sale has happened.</w:t>
      </w:r>
    </w:p>
    <w:p>
      <w:pPr>
        <w:spacing w:after="18"/>
        <w:ind w:left="300" w:hanging="300"/>
      </w:pPr>
      <w:r>
        <w:rPr>
          <w:b/>
          <w:bCs/>
          <w:color w:val="8186EF"/>
          <w:sz w:val="16"/>
          <w:szCs w:val="16"/>
        </w:rPr>
        <w:t xml:space="preserve">16  </w:t>
      </w:r>
      <w:r>
        <w:rPr>
          <w:sz w:val="16"/>
          <w:szCs w:val="16"/>
        </w:rPr>
        <w:t xml:space="preserve">A consignee never includes consigned goods, so if they were counted they come out, and if they were not, nothing changes.</w:t>
      </w:r>
    </w:p>
    <w:p>
      <w:pPr>
        <w:spacing w:after="18"/>
        <w:ind w:left="300" w:hanging="300"/>
      </w:pPr>
      <w:r>
        <w:rPr>
          <w:b/>
          <w:bCs/>
          <w:color w:val="8186EF"/>
          <w:sz w:val="16"/>
          <w:szCs w:val="16"/>
        </w:rPr>
        <w:t xml:space="preserve">18  </w:t>
      </w:r>
      <w:r>
        <w:rPr>
          <w:sz w:val="16"/>
          <w:szCs w:val="16"/>
        </w:rPr>
        <w:t xml:space="preserve">Control passed to us when the goods left the seller.</w:t>
      </w:r>
    </w:p>
    <w:p>
      <w:pPr>
        <w:spacing w:after="18"/>
        <w:ind w:left="300" w:hanging="300"/>
      </w:pPr>
      <w:r>
        <w:rPr>
          <w:b/>
          <w:bCs/>
          <w:color w:val="8186EF"/>
          <w:sz w:val="16"/>
          <w:szCs w:val="16"/>
        </w:rPr>
        <w:t xml:space="preserve">19  </w:t>
      </w:r>
      <w:r>
        <w:rPr>
          <w:sz w:val="16"/>
          <w:szCs w:val="16"/>
        </w:rPr>
        <w:t xml:space="preserve">Under FOB destination we keep control until they arrive.</w:t>
      </w:r>
    </w:p>
    <w:p>
      <w:pPr>
        <w:spacing w:after="18"/>
        <w:ind w:left="300" w:hanging="300"/>
      </w:pPr>
      <w:r>
        <w:rPr>
          <w:b/>
          <w:bCs/>
          <w:color w:val="8186EF"/>
          <w:sz w:val="16"/>
          <w:szCs w:val="16"/>
        </w:rPr>
        <w:t xml:space="preserve">20  </w:t>
      </w:r>
      <w:r>
        <w:rPr>
          <w:sz w:val="16"/>
          <w:szCs w:val="16"/>
        </w:rPr>
        <w:t xml:space="preserve">They were never ours, and they were counted, so they come out.</w:t>
      </w:r>
    </w:p>
    <w:p>
      <w:pPr>
        <w:spacing w:after="18"/>
        <w:ind w:left="300" w:hanging="300"/>
      </w:pPr>
      <w:r>
        <w:rPr>
          <w:b/>
          <w:bCs/>
          <w:color w:val="8186EF"/>
          <w:sz w:val="16"/>
          <w:szCs w:val="16"/>
        </w:rPr>
        <w:t xml:space="preserve">21  </w:t>
      </w:r>
      <w:r>
        <w:rPr>
          <w:sz w:val="16"/>
          <w:szCs w:val="16"/>
        </w:rPr>
        <w:t xml:space="preserve">A consignor keeps consigned goods in its own inventory.</w:t>
      </w:r>
    </w:p>
    <w:p>
      <w:pPr>
        <w:spacing w:after="18"/>
        <w:ind w:left="300" w:hanging="300"/>
      </w:pPr>
      <w:r>
        <w:rPr>
          <w:b/>
          <w:bCs/>
          <w:color w:val="8186EF"/>
          <w:sz w:val="16"/>
          <w:szCs w:val="16"/>
        </w:rPr>
        <w:t xml:space="preserve">22  </w:t>
      </w:r>
      <w:r>
        <w:rPr>
          <w:sz w:val="16"/>
          <w:szCs w:val="16"/>
        </w:rPr>
        <w:t xml:space="preserve">7,500 + 1,000 + 500 − 800 + 300 = 8,500.</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7.2 · Which costs go into the asset</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Freight-in</w:t>
            </w:r>
          </w:p>
        </w:tc>
        <w:tc>
          <w:tcPr>
            <w:tcW w:type="pct" w:w="1650"/>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wrong — freight-out and storage are period costs, not inventory cost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Did it help bring the goods to their present condition and location?</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Did it bring the goods to their present condition and location? Freight-out and storage of finished goods both fail it.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wrong — the import duty and the transit insurance are missing</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It becomes cost of goods sold</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400</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Trade and purchase discounts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Five are; two are not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IAS 2 does not allow LIFO — it belongs to the cost flow assumptions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On normal capacity; the unallocated part is an expense of the period</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The purchase discount taken — it reduces the cost</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Import duty, freight-in and transit insurance. The sales commission is a period cost.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Unusual spoilage, idle time, extra freight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22,000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Inventoriable: purchase price, freight-in, import duties, non-refundable taxes, handling, less discounts, direct labour, production overhead at normal capacity. Period: freight-out, sales commissions, advertising, general and administrative costs, storage of finished goods, interest, abnormal waste, unallocated fixed overhead.</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They happen after the goods are ready for use, so they do not bring them to their present condition and location</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purchase discount taken is not income; it reduces what the goods cost. Inventory is recorded at the cost of bringing the goods to their present condition and location, and the discount lowers that cost. So it sits in the asset until the goods are sold, and then it shows up as a lower cost of goods sold, which raises gross profit in the period of the sale rather than the period of the purchase.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wrong — the purchase discount of 400 has been left out</w:t>
            </w:r>
          </w:p>
        </w:tc>
        <w:tc>
          <w:tcPr>
            <w:tcW w:type="pct" w:w="1650"/>
            <w:tcMar>
              <w:top w:type="dxa" w:w="40"/>
              <w:left w:type="dxa" w:w="100"/>
              <w:bottom w:type="dxa" w:w="40"/>
              <w:right w:type="dxa" w:w="100"/>
            </w:tcMar>
          </w:tcPr>
          <w:p>
            <w:r>
              <w:rPr>
                <w:sz w:val="16"/>
                <w:szCs w:val="16"/>
              </w:rPr>
              <w:t xml:space="preserve"/>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50"/>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right</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Freight-out happens after the goods are ready, so it is a selling expense.</w:t>
      </w:r>
    </w:p>
    <w:p>
      <w:pPr>
        <w:spacing w:after="18"/>
        <w:ind w:left="300" w:hanging="300"/>
      </w:pPr>
      <w:r>
        <w:rPr>
          <w:b/>
          <w:bCs/>
          <w:color w:val="8186EF"/>
          <w:sz w:val="16"/>
          <w:szCs w:val="16"/>
        </w:rPr>
        <w:t xml:space="preserve">5  </w:t>
      </w:r>
      <w:r>
        <w:rPr>
          <w:sz w:val="16"/>
          <w:szCs w:val="16"/>
        </w:rPr>
        <w:t xml:space="preserve">Normal capacity is the output the plant expects on average over several periods. If output is unusually low, the fixed overhead that is not allocated is an expense. It is not added to inventory.</w:t>
      </w:r>
    </w:p>
    <w:p>
      <w:pPr>
        <w:spacing w:after="18"/>
        <w:ind w:left="300" w:hanging="300"/>
      </w:pPr>
      <w:r>
        <w:rPr>
          <w:b/>
          <w:bCs/>
          <w:color w:val="8186EF"/>
          <w:sz w:val="16"/>
          <w:szCs w:val="16"/>
        </w:rPr>
        <w:t xml:space="preserve">8  </w:t>
      </w:r>
      <w:r>
        <w:rPr>
          <w:sz w:val="16"/>
          <w:szCs w:val="16"/>
        </w:rPr>
        <w:t xml:space="preserve">Only freight-in helps bring the goods to their present condition and location. The other three all happen after the goods are ready.</w:t>
      </w:r>
    </w:p>
    <w:p>
      <w:pPr>
        <w:spacing w:after="18"/>
        <w:ind w:left="300" w:hanging="300"/>
      </w:pPr>
      <w:r>
        <w:rPr>
          <w:b/>
          <w:bCs/>
          <w:color w:val="8186EF"/>
          <w:sz w:val="16"/>
          <w:szCs w:val="16"/>
        </w:rPr>
        <w:t xml:space="preserve">9  </w:t>
      </w:r>
      <w:r>
        <w:rPr>
          <w:sz w:val="16"/>
          <w:szCs w:val="16"/>
        </w:rPr>
        <w:t xml:space="preserve">Advertising has no part in bringing goods to their condition and location. Duties, freight-in and direct labour all do.</w:t>
      </w:r>
    </w:p>
    <w:p>
      <w:pPr>
        <w:spacing w:after="18"/>
        <w:ind w:left="300" w:hanging="300"/>
      </w:pPr>
      <w:r>
        <w:rPr>
          <w:b/>
          <w:bCs/>
          <w:color w:val="8186EF"/>
          <w:sz w:val="16"/>
          <w:szCs w:val="16"/>
        </w:rPr>
        <w:t xml:space="preserve">10  </w:t>
      </w:r>
      <w:r>
        <w:rPr>
          <w:sz w:val="16"/>
          <w:szCs w:val="16"/>
        </w:rPr>
        <w:t xml:space="preserve">Fixed overhead is allocated on normal capacity. What is not allocated when output is unusually low is an expense, not inventory cost.</w:t>
      </w:r>
    </w:p>
    <w:p>
      <w:pPr>
        <w:spacing w:after="18"/>
        <w:ind w:left="300" w:hanging="300"/>
      </w:pPr>
      <w:r>
        <w:rPr>
          <w:b/>
          <w:bCs/>
          <w:color w:val="8186EF"/>
          <w:sz w:val="16"/>
          <w:szCs w:val="16"/>
        </w:rPr>
        <w:t xml:space="preserve">12  </w:t>
      </w:r>
      <w:r>
        <w:rPr>
          <w:sz w:val="16"/>
          <w:szCs w:val="16"/>
        </w:rPr>
        <w:t xml:space="preserve">2% of 20,000.</w:t>
      </w:r>
    </w:p>
    <w:p>
      <w:pPr>
        <w:spacing w:after="18"/>
        <w:ind w:left="300" w:hanging="300"/>
      </w:pPr>
      <w:r>
        <w:rPr>
          <w:b/>
          <w:bCs/>
          <w:color w:val="8186EF"/>
          <w:sz w:val="16"/>
          <w:szCs w:val="16"/>
        </w:rPr>
        <w:t xml:space="preserve">15  </w:t>
      </w:r>
      <w:r>
        <w:rPr>
          <w:sz w:val="16"/>
          <w:szCs w:val="16"/>
        </w:rPr>
        <w:t xml:space="preserve">20,000 − 400 + 1,200 + 900 + 300 = 22,000.</w:t>
      </w:r>
    </w:p>
    <w:p>
      <w:pPr>
        <w:spacing w:after="18"/>
        <w:ind w:left="300" w:hanging="300"/>
      </w:pPr>
      <w:r>
        <w:rPr>
          <w:b/>
          <w:bCs/>
          <w:color w:val="8186EF"/>
          <w:sz w:val="16"/>
          <w:szCs w:val="16"/>
        </w:rPr>
        <w:t xml:space="preserve">21  </w:t>
      </w:r>
      <w:r>
        <w:rPr>
          <w:sz w:val="16"/>
          <w:szCs w:val="16"/>
        </w:rPr>
        <w:t xml:space="preserve">20,800 drops the duty and the insurance; 22,400 forgets the discount; 22,950 wrongly adds freight-out and storage.</w:t>
      </w:r>
    </w:p>
    <w:p>
      <w:pPr>
        <w:spacing w:after="18"/>
        <w:ind w:left="300" w:hanging="300"/>
      </w:pPr>
      <w:r>
        <w:rPr>
          <w:b/>
          <w:bCs/>
          <w:color w:val="8186EF"/>
          <w:sz w:val="16"/>
          <w:szCs w:val="16"/>
        </w:rPr>
        <w:t xml:space="preserve">22  </w:t>
      </w:r>
      <w:r>
        <w:rPr>
          <w:sz w:val="16"/>
          <w:szCs w:val="16"/>
        </w:rPr>
        <w:t xml:space="preserve">IAS 2 uses the same idea of cost and lists the same exclusions: abnormal waste, storage, administrative overheads and selling costs.</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7.3 · Three ways to cut one total</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Cost of goods sold, and ending inventory</w:t>
            </w:r>
          </w:p>
        </w:tc>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The oldest.</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purchases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$46.50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cost of goods sold</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8,000 cases costing 372,000</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ending inventory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6,000 sold, 2,000 left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Cost of goods sold is an expense; ending inventory is an asset</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The 2,000 at $50 was dearest; the 1,000 at $40 is the oldest</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It moves the cut; it never changes what is being cut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Ending inventory 100,000; cost of goods sold 272,000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The cost of goods available for sale.</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F</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1,000 at $40 and 1,000 at $44, giving 84,000</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Layers 1,000 at $40, 2,000 at $44, 3,000 at $48, 2,000 at $50. FIFO cuts from the old end: cost of goods sold 272,000, ending inventory 100,000. LIFO cuts from the new end: cost of goods sold 288,000, ending inventory 84,000. Weighted average 279,000 and 93,000.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372,000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 cost flow assumption is a decision about which costs go to cost of goods sold and which stay in ending inventory. It does not have to match the physical flow of the goods at all: a company can ship its oldest bottles first and still use LIFO for its costs. First-in, first-out describes costs, not cartons.</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FIFO (first-in, first-out) sends the oldest costs to cost of goods sold. Ending inventory holds the newest costs. LIFO (last-in, first-out) sends the newest costs to cost of goods sold. Ending inventory holds the oldest costs.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7  </w:t>
      </w:r>
      <w:r>
        <w:rPr>
          <w:sz w:val="16"/>
          <w:szCs w:val="16"/>
        </w:rPr>
        <w:t xml:space="preserve">It does not need to match the physical flow of the goods. A company can use LIFO even if it ships its oldest bottles first.</w:t>
      </w:r>
    </w:p>
    <w:p>
      <w:pPr>
        <w:spacing w:after="18"/>
        <w:ind w:left="300" w:hanging="300"/>
      </w:pPr>
      <w:r>
        <w:rPr>
          <w:b/>
          <w:bCs/>
          <w:color w:val="8186EF"/>
          <w:sz w:val="16"/>
          <w:szCs w:val="16"/>
        </w:rPr>
        <w:t xml:space="preserve">10  </w:t>
      </w:r>
      <w:r>
        <w:rPr>
          <w:sz w:val="16"/>
          <w:szCs w:val="16"/>
        </w:rPr>
        <w:t xml:space="preserve">372,000 ÷ 8,000 = 46.50.</w:t>
      </w:r>
    </w:p>
    <w:p>
      <w:pPr>
        <w:spacing w:after="18"/>
        <w:ind w:left="300" w:hanging="300"/>
      </w:pPr>
      <w:r>
        <w:rPr>
          <w:b/>
          <w:bCs/>
          <w:color w:val="8186EF"/>
          <w:sz w:val="16"/>
          <w:szCs w:val="16"/>
        </w:rPr>
        <w:t xml:space="preserve">14  </w:t>
      </w:r>
      <w:r>
        <w:rPr>
          <w:sz w:val="16"/>
          <w:szCs w:val="16"/>
        </w:rPr>
        <w:t xml:space="preserve">The 2,000 cases left are costed at the newest price, $50.</w:t>
      </w:r>
    </w:p>
    <w:p>
      <w:pPr>
        <w:spacing w:after="18"/>
        <w:ind w:left="300" w:hanging="300"/>
      </w:pPr>
      <w:r>
        <w:rPr>
          <w:b/>
          <w:bCs/>
          <w:color w:val="8186EF"/>
          <w:sz w:val="16"/>
          <w:szCs w:val="16"/>
        </w:rPr>
        <w:t xml:space="preserve">16  </w:t>
      </w:r>
      <w:r>
        <w:rPr>
          <w:sz w:val="16"/>
          <w:szCs w:val="16"/>
        </w:rPr>
        <w:t xml:space="preserve">In each row, ending inventory plus cost of goods sold equals the cost of goods available. Only the split is different.</w:t>
      </w:r>
    </w:p>
    <w:p>
      <w:pPr>
        <w:spacing w:after="18"/>
        <w:ind w:left="300" w:hanging="300"/>
      </w:pPr>
      <w:r>
        <w:rPr>
          <w:b/>
          <w:bCs/>
          <w:color w:val="8186EF"/>
          <w:sz w:val="16"/>
          <w:szCs w:val="16"/>
        </w:rPr>
        <w:t xml:space="preserve">17  </w:t>
      </w:r>
      <w:r>
        <w:rPr>
          <w:sz w:val="16"/>
          <w:szCs w:val="16"/>
        </w:rPr>
        <w:t xml:space="preserve">100,000 is FIFO ending inventory, 279,000 is the weighted average and 288,000 is LIFO.</w:t>
      </w:r>
    </w:p>
    <w:p>
      <w:pPr>
        <w:spacing w:after="18"/>
        <w:ind w:left="300" w:hanging="300"/>
      </w:pPr>
      <w:r>
        <w:rPr>
          <w:b/>
          <w:bCs/>
          <w:color w:val="8186EF"/>
          <w:sz w:val="16"/>
          <w:szCs w:val="16"/>
        </w:rPr>
        <w:t xml:space="preserve">18  </w:t>
      </w:r>
      <w:r>
        <w:rPr>
          <w:sz w:val="16"/>
          <w:szCs w:val="16"/>
        </w:rPr>
        <w:t xml:space="preserve">372,000 ÷ 8,000 = 46.50. $40 is the oldest unit cost and $50 the newest.</w:t>
      </w:r>
    </w:p>
    <w:p>
      <w:pPr>
        <w:spacing w:after="18"/>
        <w:ind w:left="300" w:hanging="300"/>
      </w:pPr>
      <w:r>
        <w:rPr>
          <w:b/>
          <w:bCs/>
          <w:color w:val="8186EF"/>
          <w:sz w:val="16"/>
          <w:szCs w:val="16"/>
        </w:rPr>
        <w:t xml:space="preserve">19  </w:t>
      </w:r>
      <w:r>
        <w:rPr>
          <w:sz w:val="16"/>
          <w:szCs w:val="16"/>
        </w:rPr>
        <w:t xml:space="preserve">LIFO sends the newest costs out, so the oldest stay. The third option describes specific identification.</w:t>
      </w:r>
    </w:p>
    <w:p>
      <w:pPr>
        <w:spacing w:after="18"/>
        <w:ind w:left="300" w:hanging="300"/>
      </w:pPr>
      <w:r>
        <w:rPr>
          <w:b/>
          <w:bCs/>
          <w:color w:val="8186EF"/>
          <w:sz w:val="16"/>
          <w:szCs w:val="16"/>
        </w:rPr>
        <w:t xml:space="preserve">20  </w:t>
      </w:r>
      <w:r>
        <w:rPr>
          <w:sz w:val="16"/>
          <w:szCs w:val="16"/>
        </w:rPr>
        <w:t xml:space="preserve">It tracks the actual cost of each item, which is only practical when the items are few and distinguishable.</w:t>
      </w:r>
    </w:p>
    <w:p>
      <w:pPr>
        <w:spacing w:after="18"/>
        <w:ind w:left="300" w:hanging="300"/>
      </w:pPr>
      <w:r>
        <w:rPr>
          <w:b/>
          <w:bCs/>
          <w:color w:val="8186EF"/>
          <w:sz w:val="16"/>
          <w:szCs w:val="16"/>
        </w:rPr>
        <w:t xml:space="preserve">21  </w:t>
      </w:r>
      <w:r>
        <w:rPr>
          <w:sz w:val="16"/>
          <w:szCs w:val="16"/>
        </w:rPr>
        <w:t xml:space="preserve">400 units were available and 250 sold, so 150 are left. LIFO leaves the oldest: 100 at $10 plus 50 at $12 = 1,600. 2,100 is the FIFO answer and 1,838 a weighted average; 3,300 is goods available for sale.</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7.4 · Periodic against perpetual</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Periodic once at the year end; perpetual after every sale</w:t>
            </w:r>
          </w:p>
        </w:tc>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800</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check: 18,133 + 49,867 = 68,000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FIFO</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At step 4, as goods available less ending inventory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cases left 3,000</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288,000 against 279,000 — a difference of 9,000</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Step 2 — units available less units sold</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ending inventory 128,000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The moving average — a new average after each purchase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That ending inventory plus cost of goods sold equals goods available — if it fails, one of the two is wrong</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cost of goods sold 244,000</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Under a perpetual system each sale can only use the costs that exist on the date of that sale</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cost of one tray 22.667</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2,000 at $50 and 1,000 at $48, giving 148,000 — higher than LIFO</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trays left 800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The oldest costs stay; cost of goods sold is goods available less ending inventory.</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ending inventory 18,133</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Goods available for sale splits into cost of goods sold (an expense) and ending inventory (an asset). Under a periodic system you work out ending inventory first, from the count and the method, and cost of goods sold is the remainder.</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FIFO, because the oldest units are always the ones treated as sold first, whenever you calculate.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cost of goods sold 49,867</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If they use FIFO, nothing changes: the oldest units are treated as sold first whenever the calculation is done. If they use LIFO or an average, the figures will move, because under a perpetual system each sale can only use the costs that exist on the date of that sale. The average becomes a moving average, recalculated after every purchase.</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FIFO gives the same result in both systems, because the oldest units are always sold first. LIFO and the average method do not: under a perpetual system, each sale can only use the costs that exist on the date of the sale.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In a periodic system the company counts the goods at year-end and calculates cost of goods sold for the whole period. In a perpetual system it updates inventory and cost of goods sold after every purchase and every sale.</w:t>
      </w:r>
    </w:p>
    <w:p>
      <w:pPr>
        <w:spacing w:after="18"/>
        <w:ind w:left="300" w:hanging="300"/>
      </w:pPr>
      <w:r>
        <w:rPr>
          <w:b/>
          <w:bCs/>
          <w:color w:val="8186EF"/>
          <w:sz w:val="16"/>
          <w:szCs w:val="16"/>
        </w:rPr>
        <w:t xml:space="preserve">2  </w:t>
      </w:r>
      <w:r>
        <w:rPr>
          <w:sz w:val="16"/>
          <w:szCs w:val="16"/>
        </w:rPr>
        <w:t xml:space="preserve">FIFO gives the same result in both systems, because the oldest units are always sold first.</w:t>
      </w:r>
    </w:p>
    <w:p>
      <w:pPr>
        <w:spacing w:after="18"/>
        <w:ind w:left="300" w:hanging="300"/>
      </w:pPr>
      <w:r>
        <w:rPr>
          <w:b/>
          <w:bCs/>
          <w:color w:val="8186EF"/>
          <w:sz w:val="16"/>
          <w:szCs w:val="16"/>
        </w:rPr>
        <w:t xml:space="preserve">7  </w:t>
      </w:r>
      <w:r>
        <w:rPr>
          <w:sz w:val="16"/>
          <w:szCs w:val="16"/>
        </w:rPr>
        <w:t xml:space="preserve">Only FIFO is immune. LIFO and the average both change, and a perpetual system works with any cost flow assumption.</w:t>
      </w:r>
    </w:p>
    <w:p>
      <w:pPr>
        <w:spacing w:after="18"/>
        <w:ind w:left="300" w:hanging="300"/>
      </w:pPr>
      <w:r>
        <w:rPr>
          <w:b/>
          <w:bCs/>
          <w:color w:val="8186EF"/>
          <w:sz w:val="16"/>
          <w:szCs w:val="16"/>
        </w:rPr>
        <w:t xml:space="preserve">10  </w:t>
      </w:r>
      <w:r>
        <w:rPr>
          <w:sz w:val="16"/>
          <w:szCs w:val="16"/>
        </w:rPr>
        <w:t xml:space="preserve">In a periodic system cost of goods sold is the remainder, never calculated layer by layer.</w:t>
      </w:r>
    </w:p>
    <w:p>
      <w:pPr>
        <w:spacing w:after="18"/>
        <w:ind w:left="300" w:hanging="300"/>
      </w:pPr>
      <w:r>
        <w:rPr>
          <w:b/>
          <w:bCs/>
          <w:color w:val="8186EF"/>
          <w:sz w:val="16"/>
          <w:szCs w:val="16"/>
        </w:rPr>
        <w:t xml:space="preserve">13  </w:t>
      </w:r>
      <w:r>
        <w:rPr>
          <w:sz w:val="16"/>
          <w:szCs w:val="16"/>
        </w:rPr>
        <w:t xml:space="preserve">68,000 divided by the 3,000 trays available.</w:t>
      </w:r>
    </w:p>
    <w:p>
      <w:pPr>
        <w:spacing w:after="18"/>
        <w:ind w:left="300" w:hanging="300"/>
      </w:pPr>
      <w:r>
        <w:rPr>
          <w:b/>
          <w:bCs/>
          <w:color w:val="8186EF"/>
          <w:sz w:val="16"/>
          <w:szCs w:val="16"/>
        </w:rPr>
        <w:t xml:space="preserve">14  </w:t>
      </w:r>
      <w:r>
        <w:rPr>
          <w:sz w:val="16"/>
          <w:szCs w:val="16"/>
        </w:rPr>
        <w:t xml:space="preserve">3,000 available less 2,200 sold.</w:t>
      </w:r>
    </w:p>
    <w:p>
      <w:pPr>
        <w:spacing w:after="18"/>
        <w:ind w:left="300" w:hanging="300"/>
      </w:pPr>
      <w:r>
        <w:rPr>
          <w:b/>
          <w:bCs/>
          <w:color w:val="8186EF"/>
          <w:sz w:val="16"/>
          <w:szCs w:val="16"/>
        </w:rPr>
        <w:t xml:space="preserve">15  </w:t>
      </w:r>
      <w:r>
        <w:rPr>
          <w:sz w:val="16"/>
          <w:szCs w:val="16"/>
        </w:rPr>
        <w:t xml:space="preserve">800 trays at 22.667 each.</w:t>
      </w:r>
    </w:p>
    <w:p>
      <w:pPr>
        <w:spacing w:after="18"/>
        <w:ind w:left="300" w:hanging="300"/>
      </w:pPr>
      <w:r>
        <w:rPr>
          <w:b/>
          <w:bCs/>
          <w:color w:val="8186EF"/>
          <w:sz w:val="16"/>
          <w:szCs w:val="16"/>
        </w:rPr>
        <w:t xml:space="preserve">16  </w:t>
      </w:r>
      <w:r>
        <w:rPr>
          <w:sz w:val="16"/>
          <w:szCs w:val="16"/>
        </w:rPr>
        <w:t xml:space="preserve">2,200 trays at 22.667, or goods available less ending inventory.</w:t>
      </w:r>
    </w:p>
    <w:p>
      <w:pPr>
        <w:spacing w:after="18"/>
        <w:ind w:left="300" w:hanging="300"/>
      </w:pPr>
      <w:r>
        <w:rPr>
          <w:b/>
          <w:bCs/>
          <w:color w:val="8186EF"/>
          <w:sz w:val="16"/>
          <w:szCs w:val="16"/>
        </w:rPr>
        <w:t xml:space="preserve">17  </w:t>
      </w:r>
      <w:r>
        <w:rPr>
          <w:sz w:val="16"/>
          <w:szCs w:val="16"/>
        </w:rPr>
        <w:t xml:space="preserve">If the two do not add back, one of them is wrong.</w:t>
      </w:r>
    </w:p>
    <w:p>
      <w:pPr>
        <w:spacing w:after="18"/>
        <w:ind w:left="300" w:hanging="300"/>
      </w:pPr>
      <w:r>
        <w:rPr>
          <w:b/>
          <w:bCs/>
          <w:color w:val="8186EF"/>
          <w:sz w:val="16"/>
          <w:szCs w:val="16"/>
        </w:rPr>
        <w:t xml:space="preserve">18  </w:t>
      </w:r>
      <w:r>
        <w:rPr>
          <w:sz w:val="16"/>
          <w:szCs w:val="16"/>
        </w:rPr>
        <w:t xml:space="preserve">8,000 available less 5,000 sold.</w:t>
      </w:r>
    </w:p>
    <w:p>
      <w:pPr>
        <w:spacing w:after="18"/>
        <w:ind w:left="300" w:hanging="300"/>
      </w:pPr>
      <w:r>
        <w:rPr>
          <w:b/>
          <w:bCs/>
          <w:color w:val="8186EF"/>
          <w:sz w:val="16"/>
          <w:szCs w:val="16"/>
        </w:rPr>
        <w:t xml:space="preserve">19  </w:t>
      </w:r>
      <w:r>
        <w:rPr>
          <w:sz w:val="16"/>
          <w:szCs w:val="16"/>
        </w:rPr>
        <w:t xml:space="preserve">LIFO leaves the oldest costs: 1,000 at $40 is 40,000, and 2,000 at $44 is 88,000.</w:t>
      </w:r>
    </w:p>
    <w:p>
      <w:pPr>
        <w:spacing w:after="18"/>
        <w:ind w:left="300" w:hanging="300"/>
      </w:pPr>
      <w:r>
        <w:rPr>
          <w:b/>
          <w:bCs/>
          <w:color w:val="8186EF"/>
          <w:sz w:val="16"/>
          <w:szCs w:val="16"/>
        </w:rPr>
        <w:t xml:space="preserve">20  </w:t>
      </w:r>
      <w:r>
        <w:rPr>
          <w:sz w:val="16"/>
          <w:szCs w:val="16"/>
        </w:rPr>
        <w:t xml:space="preserve">372,000 less 128,000. Cost of goods sold is always the remainder in a periodic system.</w:t>
      </w:r>
    </w:p>
    <w:p>
      <w:pPr>
        <w:spacing w:after="18"/>
        <w:ind w:left="300" w:hanging="300"/>
      </w:pPr>
      <w:r>
        <w:rPr>
          <w:b/>
          <w:bCs/>
          <w:color w:val="8186EF"/>
          <w:sz w:val="16"/>
          <w:szCs w:val="16"/>
        </w:rPr>
        <w:t xml:space="preserve">21  </w:t>
      </w:r>
      <w:r>
        <w:rPr>
          <w:sz w:val="16"/>
          <w:szCs w:val="16"/>
        </w:rPr>
        <w:t xml:space="preserve">Prices rose through the year, so the newest costs that FIFO leaves behind are the dearest.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7.5 · What the choice does</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The lowest</w:t>
            </w:r>
          </w:p>
        </w:tc>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FIFO highest, LIFO lowest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FIFO, weighted average, LIFO.</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FIFO — it sends the oldest costs out, so the newest and dearest stay</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16,000</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Between the other two</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The increase in the reserve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Subtract, and it is the increase in the reserve.</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Every one of them reverses</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Because Orontes started the year with no reserve</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FIFO: lowest cost of goods sold, highest gross profit, highest tax, highest ending inventory. LIFO: the opposite throughout. Weighted average between the two in every column. Everything reverses when prices fall.</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LIFO matches current costs with current revenues; FIFO shows inventory close to current cost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4,000, on the 16,000 difference in cost of goods sold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Prices rose during 2025, so LIFO gives lower income taxes. LIFO puts the newest, most expensive costs into cost of goods sold, which lowers gross profit and taxable income; for olive oil, LIFO saves 4,000 compared with FIFO. However, the LIFO conformity rule means that if Orontes uses LIFO on its U.S. tax return, it must also use LIFO in its financial statements, so it will report lower profits to investors too. Ending inventory will also show older, lower costs. Orontes should disclose the LIFO reserve of 16,000 so that readers can compare it with FIFO companies.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50"/>
            <w:tcMar>
              <w:top w:type="dxa" w:w="40"/>
              <w:left w:type="dxa" w:w="100"/>
              <w:bottom w:type="dxa" w:w="40"/>
              <w:right w:type="dxa" w:w="100"/>
            </w:tcMar>
          </w:tcPr>
          <w:p>
            <w:r>
              <w:rPr>
                <w:sz w:val="16"/>
                <w:szCs w:val="16"/>
              </w:rPr>
              <w:t xml:space="preserve"/>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FIFO puts the old, cheaper costs into cost of goods sold. So FIFO gives the lowest cost of goods sold, the highest gross profit, the highest income tax and the highest ending inventory. LIFO gives the opposite. When prices are falling, all these relationships reverse.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FIFO puts the old, cheaper costs into cost of goods sold.</w:t>
      </w:r>
    </w:p>
    <w:p>
      <w:pPr>
        <w:spacing w:after="18"/>
        <w:ind w:left="300" w:hanging="300"/>
      </w:pPr>
      <w:r>
        <w:rPr>
          <w:b/>
          <w:bCs/>
          <w:color w:val="8186EF"/>
          <w:sz w:val="16"/>
          <w:szCs w:val="16"/>
        </w:rPr>
        <w:t xml:space="preserve">5  </w:t>
      </w:r>
      <w:r>
        <w:rPr>
          <w:sz w:val="16"/>
          <w:szCs w:val="16"/>
        </w:rPr>
        <w:t xml:space="preserve">When prices are falling, all these relationships reverse.</w:t>
      </w:r>
    </w:p>
    <w:p>
      <w:pPr>
        <w:spacing w:after="18"/>
        <w:ind w:left="300" w:hanging="300"/>
      </w:pPr>
      <w:r>
        <w:rPr>
          <w:b/>
          <w:bCs/>
          <w:color w:val="8186EF"/>
          <w:sz w:val="16"/>
          <w:szCs w:val="16"/>
        </w:rPr>
        <w:t xml:space="preserve">6  </w:t>
      </w:r>
      <w:r>
        <w:rPr>
          <w:sz w:val="16"/>
          <w:szCs w:val="16"/>
        </w:rPr>
        <w:t xml:space="preserve">LIFO’s income is closer to current economic reality but its balance sheet shows old costs; FIFO’s income includes gains from holding inventory while prices rise.</w:t>
      </w:r>
    </w:p>
    <w:p>
      <w:pPr>
        <w:spacing w:after="18"/>
        <w:ind w:left="300" w:hanging="300"/>
      </w:pPr>
      <w:r>
        <w:rPr>
          <w:b/>
          <w:bCs/>
          <w:color w:val="8186EF"/>
          <w:sz w:val="16"/>
          <w:szCs w:val="16"/>
        </w:rPr>
        <w:t xml:space="preserve">8  </w:t>
      </w:r>
      <w:r>
        <w:rPr>
          <w:sz w:val="16"/>
          <w:szCs w:val="16"/>
        </w:rPr>
        <w:t xml:space="preserve">FIFO puts the cheapest costs into cost of goods sold, so gross profit and net income are highest.</w:t>
      </w:r>
    </w:p>
    <w:p>
      <w:pPr>
        <w:spacing w:after="18"/>
        <w:ind w:left="300" w:hanging="300"/>
      </w:pPr>
      <w:r>
        <w:rPr>
          <w:b/>
          <w:bCs/>
          <w:color w:val="8186EF"/>
          <w:sz w:val="16"/>
          <w:szCs w:val="16"/>
        </w:rPr>
        <w:t xml:space="preserve">9  </w:t>
      </w:r>
      <w:r>
        <w:rPr>
          <w:sz w:val="16"/>
          <w:szCs w:val="16"/>
        </w:rPr>
        <w:t xml:space="preserve">When prices fall every relationship reverses, so LIFO now has the cheapest costs in cost of goods sold.</w:t>
      </w:r>
    </w:p>
    <w:p>
      <w:pPr>
        <w:spacing w:after="18"/>
        <w:ind w:left="300" w:hanging="300"/>
      </w:pPr>
      <w:r>
        <w:rPr>
          <w:b/>
          <w:bCs/>
          <w:color w:val="8186EF"/>
          <w:sz w:val="16"/>
          <w:szCs w:val="16"/>
        </w:rPr>
        <w:t xml:space="preserve">11  </w:t>
      </w:r>
      <w:r>
        <w:rPr>
          <w:sz w:val="16"/>
          <w:szCs w:val="16"/>
        </w:rPr>
        <w:t xml:space="preserve">That difference is the LIFO reserve.</w:t>
      </w:r>
    </w:p>
    <w:p>
      <w:pPr>
        <w:spacing w:after="18"/>
        <w:ind w:left="300" w:hanging="300"/>
      </w:pPr>
      <w:r>
        <w:rPr>
          <w:b/>
          <w:bCs/>
          <w:color w:val="8186EF"/>
          <w:sz w:val="16"/>
          <w:szCs w:val="16"/>
        </w:rPr>
        <w:t xml:space="preserve">12  </w:t>
      </w:r>
      <w:r>
        <w:rPr>
          <w:sz w:val="16"/>
          <w:szCs w:val="16"/>
        </w:rPr>
        <w:t xml:space="preserve">To get FIFO cost of goods sold, subtract the INCREASE in the LIFO reserve from LIFO cost of goods sold.</w:t>
      </w:r>
    </w:p>
    <w:p>
      <w:pPr>
        <w:spacing w:after="18"/>
        <w:ind w:left="300" w:hanging="300"/>
      </w:pPr>
      <w:r>
        <w:rPr>
          <w:b/>
          <w:bCs/>
          <w:color w:val="8186EF"/>
          <w:sz w:val="16"/>
          <w:szCs w:val="16"/>
        </w:rPr>
        <w:t xml:space="preserve">15  </w:t>
      </w:r>
      <w:r>
        <w:rPr>
          <w:sz w:val="16"/>
          <w:szCs w:val="16"/>
        </w:rPr>
        <w:t xml:space="preserve">100,000 FIFO inventory less 84,000 LIFO inventory. 4,000 is the tax saved, not the reserve.</w:t>
      </w:r>
    </w:p>
    <w:p>
      <w:pPr>
        <w:spacing w:after="18"/>
        <w:ind w:left="300" w:hanging="300"/>
      </w:pPr>
      <w:r>
        <w:rPr>
          <w:b/>
          <w:bCs/>
          <w:color w:val="8186EF"/>
          <w:sz w:val="16"/>
          <w:szCs w:val="16"/>
        </w:rPr>
        <w:t xml:space="preserve">16  </w:t>
      </w:r>
      <w:r>
        <w:rPr>
          <w:sz w:val="16"/>
          <w:szCs w:val="16"/>
        </w:rPr>
        <w:t xml:space="preserve">Subtract the INCREASE of 15,000, not the closing balance of 45,000, and subtract rather than add: 500,000 − 15,000 = 485,000.</w:t>
      </w:r>
    </w:p>
    <w:p>
      <w:pPr>
        <w:spacing w:after="18"/>
        <w:ind w:left="300" w:hanging="300"/>
      </w:pPr>
      <w:r>
        <w:rPr>
          <w:b/>
          <w:bCs/>
          <w:color w:val="8186EF"/>
          <w:sz w:val="16"/>
          <w:szCs w:val="16"/>
        </w:rPr>
        <w:t xml:space="preserve">17  </w:t>
      </w:r>
      <w:r>
        <w:rPr>
          <w:sz w:val="16"/>
          <w:szCs w:val="16"/>
        </w:rPr>
        <w:t xml:space="preserve">Old low-cost layers flow into cost of goods sold, so cost of goods sold falls and income rises for one year.</w:t>
      </w:r>
    </w:p>
    <w:p>
      <w:pPr>
        <w:spacing w:after="18"/>
        <w:ind w:left="300" w:hanging="300"/>
      </w:pPr>
      <w:r>
        <w:rPr>
          <w:b/>
          <w:bCs/>
          <w:color w:val="8186EF"/>
          <w:sz w:val="16"/>
          <w:szCs w:val="16"/>
        </w:rPr>
        <w:t xml:space="preserve">18  </w:t>
      </w:r>
      <w:r>
        <w:rPr>
          <w:sz w:val="16"/>
          <w:szCs w:val="16"/>
        </w:rPr>
        <w:t xml:space="preserve">IFRS does not allow LIFO at all, and the rule is about tax and the statements agreeing, not about every inventory everywhere.</w:t>
      </w:r>
    </w:p>
    <w:p>
      <w:pPr>
        <w:spacing w:after="18"/>
        <w:ind w:left="300" w:hanging="300"/>
      </w:pPr>
      <w:r>
        <w:rPr>
          <w:b/>
          <w:bCs/>
          <w:color w:val="8186EF"/>
          <w:sz w:val="16"/>
          <w:szCs w:val="16"/>
        </w:rPr>
        <w:t xml:space="preserve">19  </w:t>
      </w:r>
      <w:r>
        <w:rPr>
          <w:sz w:val="16"/>
          <w:szCs w:val="16"/>
        </w:rPr>
        <w:t xml:space="preserve">It is only the difference between two inventory amounts. It is sometimes called the LIFO allowance or revaluation to LIFO.</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7.6 · When the count is wrong</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Too low</w:t>
            </w:r>
          </w:p>
        </w:tc>
        <w:tc>
          <w:tcPr>
            <w:tcW w:type="pct" w:w="1650"/>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wrong — too high an ending inventory understates cost of goods sold, so profit was too HIGH</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Beginning inventory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wrong — it counterbalances, so retained earnings are correct after two years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Understated by 40</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wrong — both sides are understated by the same amount, so profit is correct; inventory and payables are understated</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Overstated by 40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Overstated in year 1, understated in year 2, and retained earnings are correct after two years.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wrong — overstated BY 40 is the size of the error; overstated TO 40 would be the new total</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Overstated by 40 at the end of 2025; correct at the end of 2026</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Right</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Because of tax at 25%: 40 less 25% of 40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Row 3 — the purchase not recorded and the goods not counted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It restates the prior-year statements, adjusting beginning retained earnings; if the error has counterbalanced, retained earnings need no adjustment but the comparative figures are still restated</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 counterbalancing error</w:t>
            </w:r>
          </w:p>
        </w:tc>
        <w:tc>
          <w:tcPr>
            <w:tcW w:type="pct" w:w="1650"/>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Inventory and accounts payable are both understated</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Inventory and accounts payable are understated; cost of goods sold and net income are correct.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Cost of goods sold is understated and net income overstated, with liabilities understated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Year 1: ending inventory overstated by 40, cost of goods sold understated by 40, pretax income overstated by 40, closing retained earnings overstated by 40; at 25% tax, net income is overstated by only 30. Year 2: beginning inventory too high, cost of goods sold overstated, pretax income understated, closing retained earnings correct — a counterbalancing error.</w:t>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50"/>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Retained earnings are correct at the end of year 2 in every case</w:t>
            </w:r>
          </w:p>
        </w:tc>
        <w:tc>
          <w:tcPr>
            <w:tcW w:type="pct" w:w="1650"/>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An overstated count understates cost of goods sold and overstates income in the first year, and does the reverse in the second, so it is a counterbalancing error and retained earnings are correct again by the end of year two. That does not make it harmless: the first year’s income and the first year’s closing balance sheet were both wrong. The company restates the prior-year statements, and if the error has already counterbalanced, retained earnings need no adjustment but the comparative figures still do.</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Over the two years, the two errors cancel. Retained earnings are overstated at the end of 2025 but correct at the end of 2026. This is a counterbalancing error.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Ending inventory is subtracted, so overstating it understates cost of goods sold.</w:t>
      </w:r>
    </w:p>
    <w:p>
      <w:pPr>
        <w:spacing w:after="18"/>
        <w:ind w:left="300" w:hanging="300"/>
      </w:pPr>
      <w:r>
        <w:rPr>
          <w:b/>
          <w:bCs/>
          <w:color w:val="8186EF"/>
          <w:sz w:val="16"/>
          <w:szCs w:val="16"/>
        </w:rPr>
        <w:t xml:space="preserve">2  </w:t>
      </w:r>
      <w:r>
        <w:rPr>
          <w:sz w:val="16"/>
          <w:szCs w:val="16"/>
        </w:rPr>
        <w:t xml:space="preserve">That is why the error moves into the next year too.</w:t>
      </w:r>
    </w:p>
    <w:p>
      <w:pPr>
        <w:spacing w:after="18"/>
        <w:ind w:left="300" w:hanging="300"/>
      </w:pPr>
      <w:r>
        <w:rPr>
          <w:b/>
          <w:bCs/>
          <w:color w:val="8186EF"/>
          <w:sz w:val="16"/>
          <w:szCs w:val="16"/>
        </w:rPr>
        <w:t xml:space="preserve">6  </w:t>
      </w:r>
      <w:r>
        <w:rPr>
          <w:sz w:val="16"/>
          <w:szCs w:val="16"/>
        </w:rPr>
        <w:t xml:space="preserve">Remember the tax effect: at a 25% tax rate, net income was overstated by only 30.</w:t>
      </w:r>
    </w:p>
    <w:p>
      <w:pPr>
        <w:spacing w:after="18"/>
        <w:ind w:left="300" w:hanging="300"/>
      </w:pPr>
      <w:r>
        <w:rPr>
          <w:b/>
          <w:bCs/>
          <w:color w:val="8186EF"/>
          <w:sz w:val="16"/>
          <w:szCs w:val="16"/>
        </w:rPr>
        <w:t xml:space="preserve">9  </w:t>
      </w:r>
      <w:r>
        <w:rPr>
          <w:sz w:val="16"/>
          <w:szCs w:val="16"/>
        </w:rPr>
        <w:t xml:space="preserve">An understated ending inventory overstates cost of goods sold and understates income in the first year, and the error reverses in the second.</w:t>
      </w:r>
    </w:p>
    <w:p>
      <w:pPr>
        <w:spacing w:after="18"/>
        <w:ind w:left="300" w:hanging="300"/>
      </w:pPr>
      <w:r>
        <w:rPr>
          <w:b/>
          <w:bCs/>
          <w:color w:val="8186EF"/>
          <w:sz w:val="16"/>
          <w:szCs w:val="16"/>
        </w:rPr>
        <w:t xml:space="preserve">10  </w:t>
      </w:r>
      <w:r>
        <w:rPr>
          <w:sz w:val="16"/>
          <w:szCs w:val="16"/>
        </w:rPr>
        <w:t xml:space="preserve">The error counterbalances: retained earnings are wrong at the end of 2025 and right at the end of 2026.</w:t>
      </w:r>
    </w:p>
    <w:p>
      <w:pPr>
        <w:spacing w:after="18"/>
        <w:ind w:left="300" w:hanging="300"/>
      </w:pPr>
      <w:r>
        <w:rPr>
          <w:b/>
          <w:bCs/>
          <w:color w:val="8186EF"/>
          <w:sz w:val="16"/>
          <w:szCs w:val="16"/>
        </w:rPr>
        <w:t xml:space="preserve">11  </w:t>
      </w:r>
      <w:r>
        <w:rPr>
          <w:sz w:val="16"/>
          <w:szCs w:val="16"/>
        </w:rPr>
        <w:t xml:space="preserve">40 is the pretax overstatement; net income is overstated by 40 less the 25% tax on it.</w:t>
      </w:r>
    </w:p>
    <w:p>
      <w:pPr>
        <w:spacing w:after="18"/>
        <w:ind w:left="300" w:hanging="300"/>
      </w:pPr>
      <w:r>
        <w:rPr>
          <w:b/>
          <w:bCs/>
          <w:color w:val="8186EF"/>
          <w:sz w:val="16"/>
          <w:szCs w:val="16"/>
        </w:rPr>
        <w:t xml:space="preserve">12  </w:t>
      </w:r>
      <w:r>
        <w:rPr>
          <w:sz w:val="16"/>
          <w:szCs w:val="16"/>
        </w:rPr>
        <w:t xml:space="preserve">Ending inventory is subtracted in the cost of goods sold calculation, so understating it overstates cost of goods sold by the same amount.</w:t>
      </w:r>
    </w:p>
    <w:p>
      <w:pPr>
        <w:spacing w:after="18"/>
        <w:ind w:left="300" w:hanging="300"/>
      </w:pPr>
      <w:r>
        <w:rPr>
          <w:b/>
          <w:bCs/>
          <w:color w:val="8186EF"/>
          <w:sz w:val="16"/>
          <w:szCs w:val="16"/>
        </w:rPr>
        <w:t xml:space="preserve">14  </w:t>
      </w:r>
      <w:r>
        <w:rPr>
          <w:sz w:val="16"/>
          <w:szCs w:val="16"/>
        </w:rPr>
        <w:t xml:space="preserve">Purchases and ending inventory are both understated by the same amount, and they are on opposite sides of the calculation.</w:t>
      </w:r>
    </w:p>
    <w:p>
      <w:pPr>
        <w:spacing w:after="18"/>
        <w:ind w:left="300" w:hanging="300"/>
      </w:pPr>
      <w:r>
        <w:rPr>
          <w:b/>
          <w:bCs/>
          <w:color w:val="8186EF"/>
          <w:sz w:val="16"/>
          <w:szCs w:val="16"/>
        </w:rPr>
        <w:t xml:space="preserve">16  </w:t>
      </w:r>
      <w:r>
        <w:rPr>
          <w:sz w:val="16"/>
          <w:szCs w:val="16"/>
        </w:rPr>
        <w:t xml:space="preserve">Cost of goods sold and income are still correct, but inventory and accounts payable are both understated.</w:t>
      </w:r>
    </w:p>
    <w:p>
      <w:pPr>
        <w:spacing w:after="18"/>
        <w:ind w:left="300" w:hanging="300"/>
      </w:pPr>
      <w:r>
        <w:rPr>
          <w:b/>
          <w:bCs/>
          <w:color w:val="8186EF"/>
          <w:sz w:val="16"/>
          <w:szCs w:val="16"/>
        </w:rPr>
        <w:t xml:space="preserve">23  </w:t>
      </w:r>
      <w:r>
        <w:rPr>
          <w:sz w:val="16"/>
          <w:szCs w:val="16"/>
        </w:rPr>
        <w:t xml:space="preserve">Purchases and ending inventory are understated by the same amount and cancel in the cost of goods sold calculation, so income is right while the balance sheet is wrong on both sides.</w:t>
      </w:r>
    </w:p>
    <w:p>
      <w:pPr>
        <w:spacing w:after="18"/>
        <w:ind w:left="300" w:hanging="300"/>
      </w:pPr>
      <w:r>
        <w:rPr>
          <w:b/>
          <w:bCs/>
          <w:color w:val="8186EF"/>
          <w:sz w:val="16"/>
          <w:szCs w:val="16"/>
        </w:rPr>
        <w:t xml:space="preserve">24  </w:t>
      </w:r>
      <w:r>
        <w:rPr>
          <w:sz w:val="16"/>
          <w:szCs w:val="16"/>
        </w:rPr>
        <w:t xml:space="preserve">The correction is a restatement of the prior-year statements with an adjustment to beginning retained earnings.</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7.7 · The tahini case</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The memo is applied to the count</w:t>
            </w:r>
          </w:p>
        </w:tc>
        <w:tc>
          <w:tcPr>
            <w:tcW w:type="pct" w:w="1650"/>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No adjustment: none of the four</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40,000 cartons costing 1,308,000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8,500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35,500</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Oldest: 4,000 at $30. Newest: 6,000 at $35</w:t>
            </w:r>
          </w:p>
        </w:tc>
        <w:tc>
          <w:tcPr>
            <w:tcW w:type="pct" w:w="1650"/>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M3, the cartons belonging to the Beirut producer: Orontes is the consignee and never includes them.</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FIFO is the larger; the reserve is FIFO inventory less LIFO inventory.</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7,500 — no, it has to be adjusted for the memo</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31,500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Goods available 1,308,000 for 40,000 cartons. The adjusted count is 8,500 cartons, FIFO ending inventory 295,000, so FIFO cost of goods sold is 1,308,000 − 295,000 = 1,013,000.</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M3, the cartons belonging to a Beirut producer</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Because FIFO leaves the newest costs in ending inventory</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Adjust the count first: work every memo item through the control test before touching any dollar figure, because every later answer depends on the adjusted count. Then take goods available for sale from the exhibit, since every method starts from the same total. Only then apply the method, costing the units that are LEFT and taking cost of goods sold as the remainder. If an answer looks odd, check whether the unadjusted count crept in.</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Add: M1, M2 and M4</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Because 6,000 of the 8,500 came from the December layer, leaving 2,500 to find</w:t>
            </w:r>
          </w:p>
        </w:tc>
        <w:tc>
          <w:tcPr>
            <w:tcW w:type="pct" w:w="1650"/>
            <w:tcMar>
              <w:top w:type="dxa" w:w="40"/>
              <w:left w:type="dxa" w:w="100"/>
              <w:bottom w:type="dxa" w:w="40"/>
              <w:right w:type="dxa" w:w="100"/>
            </w:tcMar>
          </w:tcPr>
          <w:p>
            <w:r>
              <w:rPr>
                <w:sz w:val="16"/>
                <w:szCs w:val="16"/>
              </w:rPr>
              <w:t xml:space="preserve"/>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Subtract: M3</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1,030,050</w:t>
            </w:r>
          </w:p>
        </w:tc>
        <w:tc>
          <w:tcPr>
            <w:tcW w:type="pct" w:w="1650"/>
            <w:tcMar>
              <w:top w:type="dxa" w:w="40"/>
              <w:left w:type="dxa" w:w="100"/>
              <w:bottom w:type="dxa" w:w="40"/>
              <w:right w:type="dxa" w:w="100"/>
            </w:tcMar>
          </w:tcPr>
          <w:p>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count records what was in the building; the memo tells you what to add and what to take out.</w:t>
      </w:r>
    </w:p>
    <w:p>
      <w:pPr>
        <w:spacing w:after="18"/>
        <w:ind w:left="300" w:hanging="300"/>
      </w:pPr>
      <w:r>
        <w:rPr>
          <w:b/>
          <w:bCs/>
          <w:color w:val="8186EF"/>
          <w:sz w:val="16"/>
          <w:szCs w:val="16"/>
        </w:rPr>
        <w:t xml:space="preserve">6  </w:t>
      </w:r>
      <w:r>
        <w:rPr>
          <w:sz w:val="16"/>
          <w:szCs w:val="16"/>
        </w:rPr>
        <w:t xml:space="preserve">M1 became ours when it left the seller; M2 is still ours until it arrives; M4 is ours at a consignee.</w:t>
      </w:r>
    </w:p>
    <w:p>
      <w:pPr>
        <w:spacing w:after="18"/>
        <w:ind w:left="300" w:hanging="300"/>
      </w:pPr>
      <w:r>
        <w:rPr>
          <w:b/>
          <w:bCs/>
          <w:color w:val="8186EF"/>
          <w:sz w:val="16"/>
          <w:szCs w:val="16"/>
        </w:rPr>
        <w:t xml:space="preserve">7  </w:t>
      </w:r>
      <w:r>
        <w:rPr>
          <w:sz w:val="16"/>
          <w:szCs w:val="16"/>
        </w:rPr>
        <w:t xml:space="preserve">M3 belongs to the Beirut producer and was counted.</w:t>
      </w:r>
    </w:p>
    <w:p>
      <w:pPr>
        <w:spacing w:after="18"/>
        <w:ind w:left="300" w:hanging="300"/>
      </w:pPr>
      <w:r>
        <w:rPr>
          <w:b/>
          <w:bCs/>
          <w:color w:val="8186EF"/>
          <w:sz w:val="16"/>
          <w:szCs w:val="16"/>
        </w:rPr>
        <w:t xml:space="preserve">9  </w:t>
      </w:r>
      <w:r>
        <w:rPr>
          <w:sz w:val="16"/>
          <w:szCs w:val="16"/>
        </w:rPr>
        <w:t xml:space="preserve">7,500 + 1,000 + 500 − 800 + 300. Adding every memo item gives 10,100, which wrongly includes another company’s goods; reversing the FOB rules gives 5,500; using the count unadjusted gives 7,500.</w:t>
      </w:r>
    </w:p>
    <w:p>
      <w:pPr>
        <w:spacing w:after="18"/>
        <w:ind w:left="300" w:hanging="300"/>
      </w:pPr>
      <w:r>
        <w:rPr>
          <w:b/>
          <w:bCs/>
          <w:color w:val="8186EF"/>
          <w:sz w:val="16"/>
          <w:szCs w:val="16"/>
        </w:rPr>
        <w:t xml:space="preserve">14  </w:t>
      </w:r>
      <w:r>
        <w:rPr>
          <w:sz w:val="16"/>
          <w:szCs w:val="16"/>
        </w:rPr>
        <w:t xml:space="preserve">1,308,000 ÷ 40,000 = 32.70 a carton; 31,500 cartons sold × 32.70 = 1,030,050. A simple average of the unit prices gives 1,026,900, and 277,950 is weighted-average ending inventory rather than cost of goods sold.</w:t>
      </w:r>
    </w:p>
    <w:p>
      <w:pPr>
        <w:spacing w:after="18"/>
        <w:ind w:left="300" w:hanging="300"/>
      </w:pPr>
      <w:r>
        <w:rPr>
          <w:b/>
          <w:bCs/>
          <w:color w:val="8186EF"/>
          <w:sz w:val="16"/>
          <w:szCs w:val="16"/>
        </w:rPr>
        <w:t xml:space="preserve">15  </w:t>
      </w:r>
      <w:r>
        <w:rPr>
          <w:sz w:val="16"/>
          <w:szCs w:val="16"/>
        </w:rPr>
        <w:t xml:space="preserve">The unadjusted count gives FIFO ending inventory of 261,000 against 295,000, and a lower ending inventory raises cost of goods sold by the same 34,000. "Overstated by 1,000" gives the difference in cartons rather than in dollars.</w:t>
      </w:r>
    </w:p>
    <w:p>
      <w:pPr>
        <w:spacing w:after="18"/>
        <w:ind w:left="300" w:hanging="300"/>
      </w:pPr>
      <w:r>
        <w:rPr>
          <w:b/>
          <w:bCs/>
          <w:color w:val="8186EF"/>
          <w:sz w:val="16"/>
          <w:szCs w:val="16"/>
        </w:rPr>
        <w:t xml:space="preserve">16  </w:t>
      </w:r>
      <w:r>
        <w:rPr>
          <w:sz w:val="16"/>
          <w:szCs w:val="16"/>
        </w:rPr>
        <w:t xml:space="preserve">LIFO ending inventory on 8,500 cartons takes the oldest costs: 4,000 at $30 is 120,000, and 4,500 at $31 is 139,500, giving 259,500. The reserve is FIFO less LIFO: 295,000 − 259,500 = 35,500. Subtracting FIFO from LIFO gives the same figure with the wrong sign.</w:t>
      </w:r>
    </w:p>
    <w:p/>
    <w:p>
      <w:pPr>
        <w:sectPr>
          <w:headerReference w:type="default" r:id="rIdHdr7"/>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7.8 · The whole chapter</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Still in inventory, or part of cost of goods sold</w:t>
            </w:r>
          </w:p>
        </w:tc>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Which goods belong; which costs belong; which costs leave; what the choice does to income, tax and assets; what a wrong count does.</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Which goods belong — control</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Which goods; which costs; cost flow; effects; errors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Which costs leave — the cost flow assumption</w:t>
            </w:r>
          </w:p>
        </w:tc>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The error reverses in the next year and then cancels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The purchase on account and the cost-of-goods-sold matching question, both from Chapter 1.</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Any defensible answer, for example: you cannot cost the goods until you know which goods are yours</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Which goods belong: control at the year-end date, wherever they sit. Which costs belong: everything that brings them to their present condition and location. Which costs leave: the cost flow assumption cuts goods available into two. What the choice does: in rising prices FIFO gives higher income, tax and inventory. What a wrong count does: the error reverses next year and then cancels.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Inventory includes the goods a company controls at the year-end date, wherever they are, so shipping terms and consignments matter more than where the cartons are standing. Its cost includes everything needed to bring the goods to their present condition and location, but not selling, administrative or abnormal costs. A cost flow assumption then splits the cost of goods available between cost of goods sold and ending inventory, and the split is a decision about costs rather than about physical movement. In rising prices FIFO gives higher income, tax and inventory and LIFO gives lower ones, with the LIFO reserve as the bridge between them. An error in ending inventory reverses in the following year, so it is counterbalancing and retained earnings are correct after two years.</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A cost flow assumption splits the cost of goods available between cost of goods sold and ending inventory. In rising prices, FIFO gives higher income, taxes and inventory, and LIFO gives lower ones; the LIFO reserve connects the two.</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There is no third place for it to be.</w:t>
      </w:r>
    </w:p>
    <w:p>
      <w:pPr>
        <w:spacing w:after="18"/>
        <w:ind w:left="300" w:hanging="300"/>
      </w:pPr>
      <w:r>
        <w:rPr>
          <w:b/>
          <w:bCs/>
          <w:color w:val="8186EF"/>
          <w:sz w:val="16"/>
          <w:szCs w:val="16"/>
        </w:rPr>
        <w:t xml:space="preserve">5  </w:t>
      </w:r>
      <w:r>
        <w:rPr>
          <w:sz w:val="16"/>
          <w:szCs w:val="16"/>
        </w:rPr>
        <w:t xml:space="preserve">The map records the order the decisions have to be taken in.</w:t>
      </w:r>
    </w:p>
    <w:p>
      <w:pPr>
        <w:spacing w:after="18"/>
        <w:ind w:left="300" w:hanging="300"/>
      </w:pPr>
      <w:r>
        <w:rPr>
          <w:b/>
          <w:bCs/>
          <w:color w:val="8186EF"/>
          <w:sz w:val="16"/>
          <w:szCs w:val="16"/>
        </w:rPr>
        <w:t xml:space="preserve">9  </w:t>
      </w:r>
      <w:r>
        <w:rPr>
          <w:sz w:val="16"/>
          <w:szCs w:val="16"/>
        </w:rPr>
        <w:t xml:space="preserve">Inventory is an asset and the payable is a liability. Buying inventory is not an expense, and the goods are controlled from the moment of purchase.</w:t>
      </w:r>
    </w:p>
    <w:p>
      <w:pPr>
        <w:spacing w:after="18"/>
        <w:ind w:left="300" w:hanging="300"/>
      </w:pPr>
      <w:r>
        <w:rPr>
          <w:b/>
          <w:bCs/>
          <w:color w:val="8186EF"/>
          <w:sz w:val="16"/>
          <w:szCs w:val="16"/>
        </w:rPr>
        <w:t xml:space="preserve">10  </w:t>
      </w:r>
      <w:r>
        <w:rPr>
          <w:sz w:val="16"/>
          <w:szCs w:val="16"/>
        </w:rPr>
        <w:t xml:space="preserve">Cost of goods sold links directly to one sale, which is the cause-and-effect way of applying matching.</w:t>
      </w:r>
    </w:p>
    <w:p>
      <w:pPr>
        <w:spacing w:after="18"/>
        <w:ind w:left="300" w:hanging="300"/>
      </w:pPr>
      <w:r>
        <w:rPr>
          <w:b/>
          <w:bCs/>
          <w:color w:val="8186EF"/>
          <w:sz w:val="16"/>
          <w:szCs w:val="16"/>
        </w:rPr>
        <w:t xml:space="preserve">11  </w:t>
      </w:r>
      <w:r>
        <w:rPr>
          <w:sz w:val="16"/>
          <w:szCs w:val="16"/>
        </w:rPr>
        <w:t xml:space="preserve">The consignee never includes them. The goods stay in the consignor’s inventory.</w:t>
      </w:r>
    </w:p>
    <w:p>
      <w:pPr>
        <w:spacing w:after="18"/>
        <w:ind w:left="300" w:hanging="300"/>
      </w:pPr>
      <w:r>
        <w:rPr>
          <w:b/>
          <w:bCs/>
          <w:color w:val="8186EF"/>
          <w:sz w:val="16"/>
          <w:szCs w:val="16"/>
        </w:rPr>
        <w:t xml:space="preserve">12  </w:t>
      </w:r>
      <w:r>
        <w:rPr>
          <w:sz w:val="16"/>
          <w:szCs w:val="16"/>
        </w:rPr>
        <w:t xml:space="preserve">LIFO gives the lowest taxable income when prices rise, and the conformity rule means the same lower profits must be reported in the financial statements.</w:t>
      </w:r>
    </w:p>
    <w:p>
      <w:pPr>
        <w:spacing w:after="18"/>
        <w:ind w:left="300" w:hanging="300"/>
      </w:pPr>
      <w:r>
        <w:rPr>
          <w:b/>
          <w:bCs/>
          <w:color w:val="8186EF"/>
          <w:sz w:val="16"/>
          <w:szCs w:val="16"/>
        </w:rPr>
        <w:t xml:space="preserve">13  </w:t>
      </w:r>
      <w:r>
        <w:rPr>
          <w:sz w:val="16"/>
          <w:szCs w:val="16"/>
        </w:rPr>
        <w:t xml:space="preserve">IAS 2 prohibits LIFO. It allows FIFO and the weighted average, and requires specific identification for items that are not interchangeable.</w:t>
      </w:r>
    </w:p>
    <w:p>
      <w:pPr>
        <w:spacing w:after="18"/>
        <w:ind w:left="300" w:hanging="300"/>
      </w:pPr>
      <w:r>
        <w:rPr>
          <w:b/>
          <w:bCs/>
          <w:color w:val="8186EF"/>
          <w:sz w:val="16"/>
          <w:szCs w:val="16"/>
        </w:rPr>
        <w:t xml:space="preserve">14  </w:t>
      </w:r>
      <w:r>
        <w:rPr>
          <w:sz w:val="16"/>
          <w:szCs w:val="16"/>
        </w:rPr>
        <w:t xml:space="preserve">Freight-out happens after the goods are ready, so it is a selling expense. The other three all help bring the goods to their present condition and location.</w:t>
      </w:r>
    </w:p>
    <w:p>
      <w:pPr>
        <w:spacing w:after="18"/>
        <w:ind w:left="300" w:hanging="300"/>
      </w:pPr>
      <w:r>
        <w:rPr>
          <w:b/>
          <w:bCs/>
          <w:color w:val="8186EF"/>
          <w:sz w:val="16"/>
          <w:szCs w:val="16"/>
        </w:rPr>
        <w:t xml:space="preserve">15  </w:t>
      </w:r>
      <w:r>
        <w:rPr>
          <w:sz w:val="16"/>
          <w:szCs w:val="16"/>
        </w:rPr>
        <w:t xml:space="preserve">Goods available is beginning inventory plus purchases, and neither of those is touched by a miscount of the closing stock.</w:t>
      </w:r>
    </w:p>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7.8</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 — answer keys</dc:title>
  <dc:subject>Inventory I: Goods, Costs and Cost Flows</dc:subject>
  <cp:category>Student Book</cp:category>
</cp:coreProperties>
</file>