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3.3 · The Income Statement and Comprehensive Income · 25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strategic shift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income statement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Net income (no OCI option)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OCI; amortized into net income later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OCI; never reclassified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allowed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discontinued operation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3.3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3.3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3.3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income statement covers a period; the balance sheet is at one date.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Only the grouping changes; the same items are included.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Selling equipment is peripheral, so the net difference is a gain.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Extraordinary items were removed in 2015; unusual or infrequent items stay in continuing operations.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Leaving a major line of business is a strategic shift with a major effect.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Net income of $2,969,100 minus the OCI loss of $1,125, net of tax.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AFS debt securities are measured at fair value with changes in OCI.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Estimates (useful lives) and methods (FIFO or LIFO) reduce comparability.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tables and figures · The Income Statement and Comprehensive Income · 26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Other income and expense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Discontinued operations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expenses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Other income and expense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Both layouts give the same net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Equity securities changes go to net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Only discontinued operations are shown net of tax there.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Past performance on the income statement is the starting point for predicting future earnings.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Operating income is earned before interest, so it can be compared with interest expense.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income statement covers a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Subtotals separate operating results from other items.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R&amp;D is part of the costs of running the main business.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Gross profit of $360,000 minus operating expenses of $210,000.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tables and figures · part 3 · The Income Statement and Comprehensive Income · 25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This is one of the conditions.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Net income is not a fair value measure.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No unrealized value change is involved.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It shows changes in equity, using net income from the income statement.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U.S. GAAP does not mandate function or nature.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EPS is required for income from continuing operations and net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Unusual or infrequent items stay in continuing operations, before tax.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Proceeds of $21,000 minus the carrying amount of $18,000; gains are shown net.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Profitable and loss-making components can both be discontinued operations.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Net income plus this year's OCI.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practice set · The Income Statement and Comprehensive Income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This is the U.S. GAAP answer; IFRS allows revaluation.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Selling one asset gives a gain or loss, not a discontinued operation.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Gains pass through net income first.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U.S. GAAP does not require one layout; SEC captions lead to multi-step.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The gain moves the other way: from OCI to net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OCI is not part of operating cash flow.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ASU 2011-05 requires one or two statements.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gain moves from AOCI into net income; without the adjustment, comprehensive income would include it twice.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Unrecognized increases in value are one limitation of the income statement.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Earnings management through timing is a known limitation.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indirect method reconciles net income to operating cash flow.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IAS 16 revaluation increases go to OCI and are not recycled.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Both losses, each net of its tax benefit: $315,000 + $135,000.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3 · Answer Keys</dc:title>
  <dc:subject>The Income Statement and Comprehensive Income</dc:subject>
  <cp:category>Student Book</cp:category>
</cp:coreProperties>
</file>