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6.1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6.2 · Receivables: Credit Losses and Transfers · 42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60,000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30,000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25%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7,500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20,000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60%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12,000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660,000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amortized cost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aging schedule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accounts receivable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write-off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150,000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3%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section 6.2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section 6.2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section 6.2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section 6.2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Orontes has performed, but its right to payment still depends on the second shipment, not only on time.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Receivables are recorded at the transaction price; expected discounts and returns are variable consideration. Short-term receivables are not discounted.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The allowance must move from a 3,000 debit to a 20,000 credit, so the expense is 23,000.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Both accounts receivable and the allowance decrease by 4,000, so the net amount is unchanged. The expense was recorded earlier.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27   </w:t>
      </w:r>
      <w:r>
        <w:rPr>
          <w:sz w:val="15"/>
          <w:szCs w:val="15"/>
        </w:rPr>
        <w:t xml:space="preserve">The repurchase duty means Orontes keeps effective control, so the sale conditions fail.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28   </w:t>
      </w:r>
      <w:r>
        <w:rPr>
          <w:sz w:val="15"/>
          <w:szCs w:val="15"/>
        </w:rPr>
        <w:t xml:space="preserve">Neither method changes cash.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29   </w:t>
      </w:r>
      <w:r>
        <w:rPr>
          <w:sz w:val="15"/>
          <w:szCs w:val="15"/>
        </w:rPr>
        <w:t xml:space="preserve">Credit losses are recorded in a separate allowance account, not netted in the receivable.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30   </w:t>
      </w:r>
      <w:r>
        <w:rPr>
          <w:sz w:val="15"/>
          <w:szCs w:val="15"/>
        </w:rPr>
        <w:t xml:space="preserve">The direct method is the method used for U.S. tax.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31   </w:t>
      </w:r>
      <w:r>
        <w:rPr>
          <w:sz w:val="15"/>
          <w:szCs w:val="15"/>
        </w:rPr>
        <w:t xml:space="preserve">This is the write-off entry, in the opposite direction.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33   </w:t>
      </w:r>
      <w:r>
        <w:rPr>
          <w:sz w:val="15"/>
          <w:szCs w:val="15"/>
        </w:rPr>
        <w:t xml:space="preserve">Recourse alone does not make the transfer a borrowing.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6.2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6.3 · Receivables: Credit Losses and Transfers · 22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pledging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300,000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legal isolation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factor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effective control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80,000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8%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40,000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25%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   </w:t>
      </w:r>
      <w:r>
        <w:rPr>
          <w:sz w:val="15"/>
          <w:szCs w:val="15"/>
        </w:rPr>
        <w:t xml:space="preserve">section 6.3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   </w:t>
      </w:r>
      <w:r>
        <w:rPr>
          <w:sz w:val="15"/>
          <w:szCs w:val="15"/>
        </w:rPr>
        <w:t xml:space="preserve">section 6.3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   </w:t>
      </w:r>
      <w:r>
        <w:rPr>
          <w:sz w:val="15"/>
          <w:szCs w:val="15"/>
        </w:rPr>
        <w:t xml:space="preserve">section 6.3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   </w:t>
      </w:r>
      <w:r>
        <w:rPr>
          <w:sz w:val="15"/>
          <w:szCs w:val="15"/>
        </w:rPr>
        <w:t xml:space="preserve">section 6.3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CECL records lifetime expected losses from day one.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The company first reinstates the receivable; the second entry records the cash collection.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Losses are recorded only when balances are written off, so receivables are overstated and matching fails.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13   </w:t>
      </w:r>
      <w:r>
        <w:rPr>
          <w:sz w:val="15"/>
          <w:szCs w:val="15"/>
        </w:rPr>
        <w:t xml:space="preserve">It is an income-statement approach; CECL focuses on the expected losses on the receivables at the balance sheet date.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14   </w:t>
      </w:r>
      <w:r>
        <w:rPr>
          <w:sz w:val="15"/>
          <w:szCs w:val="15"/>
        </w:rPr>
        <w:t xml:space="preserve">Long-term notes with no or low interest are recorded at present value using an imputed rate.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15   </w:t>
      </w:r>
      <w:r>
        <w:rPr>
          <w:sz w:val="15"/>
          <w:szCs w:val="15"/>
        </w:rPr>
        <w:t xml:space="preserve">It is effective for annual periods beginning after December 15, 2025; under the one-year rule it is not yet tested.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That is the direct write-off method.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That is the older gross method; expected discounts are variable consideration today.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This ignores the time value of money over two years.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The aging method gives the required ending balance.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6.3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6.3 · part 3 · Receivables: Credit Losses and Transfers · 24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secured borrowing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recourse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recourse liability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factoring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35,000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350,000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7,000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 change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section 6.3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section 6.3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section 6.3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section 6.3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All three sale conditions are met; recourse adds a liability to the sale.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Carrying amount − (cash + due from factor − recourse liability).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In a borrowing, the receivables stay (pledged) and the cash received is a liability.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Pledging is not a transfer; only a note disclosure is needed.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The simplified approach requires lifetime expected losses for these receivables.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IFRS 9 focuses on risks and rewards; substantial recourse often keeps the risk with the seller.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It reduces receivables to the amount expected to be collected.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The expected loss is matched with the revenue of the same period.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6.4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The terms and the contrasts · Receivables: Credit Losses and Transfers · 34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   </w:t>
      </w:r>
      <w:r>
        <w:rPr>
          <w:sz w:val="15"/>
          <w:szCs w:val="15"/>
        </w:rPr>
        <w:t xml:space="preserve">That is the direct write-off method.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   </w:t>
      </w:r>
      <w:r>
        <w:rPr>
          <w:sz w:val="15"/>
          <w:szCs w:val="15"/>
        </w:rPr>
        <w:t xml:space="preserve">It still uses an allowance; the direct method does not.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13   </w:t>
      </w:r>
      <w:r>
        <w:rPr>
          <w:sz w:val="15"/>
          <w:szCs w:val="15"/>
        </w:rPr>
        <w:t xml:space="preserve">The sum of each group's amount × its expected loss rate.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4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6.1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6.2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6.3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6.4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6 · Answer Keys</dc:title>
  <dc:subject>Receivables: Credit Losses and Transfers</dc:subject>
  <cp:category>Student Book</cp:category>
</cp:coreProperties>
</file>