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Section 6.2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6 · from section Receivables: Credit Losses and Transfers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accounts receivable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تخصيم الذمم المدينة (بيع الديون)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allowance for credit losses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حق الرجوع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expected credit losses (CECL)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الخسائر الائتمانية المتوقعة الحالية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aging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الخسائر الائتمانية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loss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الذمم المدينة (المدينون)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write-off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أعمار الذمم المدينة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factoring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الخسائر الائتمانية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recourse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شطب (إعدام) الدين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6.2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accounts receivable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aging schedule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amortized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effective control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notes receivable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recourse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secured borrowing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write-off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Trade receivables are measured at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and the allowance is a contra-asset account.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Estimating the allowance with an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A common method is the aging schedule.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Write-offs and recoveries When a customer's balance is clearly uncollectible, the company records a write-off: debit the allowance and credit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changes neither net income nor net receivables, because the expense was already recorded when the allowance was built.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Age of receivable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loss rate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Required allowance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Current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1–30 days past due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4,500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31–60 days past due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6,000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61–90 days past due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 90 days past due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34,000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has delivered the first of two shipments under one contract. It can bill the customer only after the second shipment. What should Orontes record for the first shipment?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contract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account receivable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Nothing until it can bill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Unearned 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trade receivable is due in 60 days. At what amount is it recorded?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present value using a market interest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invoice amount, with discounts recorded only when taken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transaction price, reduced for expected discounts and returns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invoice amount less expected credit losses, recorded as one net number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aging shows that the allowance for credit losses should be 20,000. Before adjustment, the allowance has a debit balance of 3,000. What is the credit loss expense?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Under the allowance method, Orontes writes off a customer's balance of 4,000. What is the effect?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Net income decreases by 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effect on net income or on net receivables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receivables decrease by 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Total assets decrease by 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Orontes transfers receivables to a bank but must buy them back before they mature. How should Orontes account for the transfer?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sale with recourse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sale without recourse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contract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secured borrowing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27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It reduces cash flow from operations.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invoice amount less expected credit losses, recorded as one net number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is not allowed for U.S. tax returns.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Debit Allowance for credit losses, credit Accounts receivable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Pledging is not a transfer; only a note disclosure is needed.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As a secured borrowing, because there is recourse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IFRS treats it as a sale; U.S. GAAP treats it as a borrowing.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accounts receivable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تخصيم الذمم المدينة (بيع الديون)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allowance for credit losses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حق الرجوع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expected credit losses (CECL)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الخسائر الائتمانية المتوقعة الحالية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aging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الخسائر الائتمانية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loss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الذمم المدينة (المدينون)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write-off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أعمار الذمم المدينة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factoring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الخسائر الائتمانية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recourse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شطب (إعدام) الدين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42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Section 6.3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6 · from section Receivables: Credit Losses and Transfers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6.3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accounts receivable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effective control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factor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legal isolation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notes receivable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pledging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recourse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secured borrowing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It can use them as collateral for a loan (</w:t>
      </w:r>
      <w:r>
        <w:rPr>
          <w:vertAlign w:val="superscript"/>
          <w:color w:val="353A7C"/>
          <w:b/>
          <w:sz w:val="15"/>
        </w:rPr>
        <w:t>1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), or it can transfer them to a finance company called a factor.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First, </w:t>
      </w:r>
      <w:r>
        <w:rPr>
          <w:vertAlign w:val="superscript"/>
          <w:color w:val="353A7C"/>
          <w:b/>
          <w:sz w:val="15"/>
        </w:rPr>
        <w:t>2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: the receivables are beyond the reach of the seller and its creditors, even in bankruptcy.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Second, the </w:t>
      </w:r>
      <w:r>
        <w:rPr>
          <w:vertAlign w:val="superscript"/>
          <w:color w:val="353A7C"/>
          <w:b/>
          <w:sz w:val="15"/>
        </w:rPr>
        <w:t>3</w:t>
      </w:r>
      <w:r>
        <w:rPr>
          <w:u w:val="single"/>
          <w:sz w:val="20"/>
          <w:szCs w:val="20"/>
        </w:rPr>
        <w:t xml:space="preserve">            </w:t>
      </w:r>
      <w:r>
        <w:rPr>
          <w:sz w:val="20"/>
          <w:szCs w:val="20"/>
        </w:rPr>
        <w:t xml:space="preserve"> can pledge or exchange the receivables.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Third, the seller does not keep </w:t>
      </w:r>
      <w:r>
        <w:rPr>
          <w:vertAlign w:val="superscript"/>
          <w:color w:val="353A7C"/>
          <w:b/>
          <w:sz w:val="15"/>
        </w:rPr>
        <w:t>4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, for example through an agreement to buy the receivables back before they mature.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Age of receivable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loss rate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Required allowance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Current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3,600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1–60 days past due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 60 days past due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9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Under CECL, when does a company first recognize expected credit losses on a trade receivable?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a loss becomes probable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the customer misses a payment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receivable is first recognized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the receivable is written off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customer pays 1,500 that Orontes had written off last year. Under the allowance method, what is the first entry?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Debit Accounts receivable, credit Allowance for credit losses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Debit Cash, credit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Debit Cash, credit Credit loss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Debit Allowance for credit losses, credit Accounts receivable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Why is the direct write-off method not acceptable under U.S. GAAP when bad debts are material?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not allowed for U.S. tax returns.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records losses too early.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records losses late and shows receivables at more than the amount expected to be collected.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reduces cash flow from operations.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Which statement about the percentage-of-sales approach is correct under CECL?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the method CECL requires.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gives the required ending balance of the allowance.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the same as the direct write-off method.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estimates the expense directly but does not measure expected losses on the ending receivables.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Orontes accepts a two-year note from a customer with no stated interest. How is the note recorded?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At its present value, with the discount amortized to interest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its face amount, with no interest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At its face amount plus interest at the market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At the customer's cost of the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Under ASU 2025-05, a practical expedient lets companies assume current conditions will not change when they forecast losses on current receivables. How should a CMA candidate treat it in 2026?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the main CECL rule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rule that applies only to IFRS companies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replacement for the aging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watch item that is not yet tested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When the receivable is written off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CECL records lifetime expected losses from day 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The invoice amount, with discounts recorded only when taken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In a borrowing, the receivables stay (pledged) and the cash received is a liability.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The company first reinstates the receivable; the second entry records the cash collection.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At its face amount, with no interest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It gives the required ending balance of the allowance.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10 to 22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6.3 · Section 6.3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6 · from section Receivables: Credit Losses and Transfers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secured borrowing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استرداد دين مشطوب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contract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اقتراض مضمون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discount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الشطب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notes receivable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المستنفدة (التكلفة المطفأة)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amortized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العقد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شركة التخصيم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write-off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خصم تعجيل الدفع (خصم نقدي)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أوراق القبض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6.3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accounts receivable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effective control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factoring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legal isolation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notes receivable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recourse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recourse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secured borrowing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If any condition fails, the transfer is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If the three conditions are met, a transfer with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 is still a sale.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seller then records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at its fair value, which increases the loss on the sale.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As a secured borrowing SC6-6 Use the Orontes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example in Section 6.3.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required allowance for credit losses at December 31, 2025.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credit loss expense for 2025.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net accounts receivable at December 31, 2025.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loss on transfer T2.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January 2026 Orontes writes off a customer balance of $4,500. The effect on net accounts receivable is: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Receivables are transferred with recourse. They are legally isolated, the factor may pledge them, and the seller has no repurchase right or duty. How is the transfer recorded?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secured borrowing, because there is recourse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sale, with no liability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sale, with a recourse liability at fair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pledge of receivables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Use the Orontes factoring example. If the transfer with recourse qualifies as a sale, what is the loss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Compared with a sale of receivables, a secured borrowing: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removes the receivables and adds no liability.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removes the receivables and adds a recourse liability.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keeps the receivables on the balance sheet and adds a liability.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has no effect on the balance sheet.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Orontes pledges its receivables as collateral for a bank loan. How are the receivables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stay on the balance sheet, with disclosure of the pledge.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are removed from the balance sheet.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are reclassified as a liability.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are written down to fair value.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Under IFRS 9, how are expected credit losses measured on trade receivables without a significant financing component?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At 12-month expected losses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when a loss is probable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when the receivable is written 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Always at lifetime expected losses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Receivables are factored with substantial recourse. The transfer meets the three ASC 860 conditions. Which statement is MOST likely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frameworks treat it as a borrowing.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U.S. GAAP treats it as a sale; IFRS 9 may treat it as a borrowing.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frameworks treat it as a sale with no liability.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IFRS treats it as a sale; U.S. GAAP treats it as a borrowing.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Spiral review (Chapter 1). Where is the allowance for credit losses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an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contra-asset, deducted from accounts receivable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a reduction of equity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Spiral review (Chapter 1). Recording credit loss expense in the period of the sale, before any customer defaults, is an example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cash basis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direct write-off method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immediate recognition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matching principle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6.4 · The terms and the contrasts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6 · from section Receivables: Credit Losses and Transfers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Only when the receivable is written off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is the same as the direct write-off method.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repurchase duty means Orontes keeps effective control, so the sale conditions fail.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IFRS 9 focuses on risks and rewards; substantial recourse often keeps the risk with the seller.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It is effective for annual periods beginning after December 15, 2025; under the one-year rule it is not yet tested.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Receivables are recorded at the transaction price; expected discounts and returns are variable consideration. Short-term receivables are not discounted.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simplified approach requires lifetime expected losses for these receivables.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recourse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العزل القانوني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holdback (due from factor)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حق الرجوع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pledging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المبلغ المحتجز (مستحق من شركة التخصيم)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 control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رهن الذمم المدينة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legal isolation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السيطرة الفعلية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Age of receivable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Amount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Expected loss rate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Required allowance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Current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400,000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1%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1–30 days past due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3%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4,500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31–60 days past due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10%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61–90 days past due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25%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7,500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Over 90 days past due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60%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660,000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34,000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Use the panel above. What is the required allowance for credit losses at December 31,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626,000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accounts receivable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تخصيم الذمم المدينة (بيع الديون)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allowance for credit losses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حق الرجوع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expected credit losses (CECL)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الخسائر الائتمانية المتوقعة الحالية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aging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مصروف الخسائر الائتمانية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loss expense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الذمم المدينة (المدينون)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write-off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أعمار الذمم المدينة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factoring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الخسائر الائتمانية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recourse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شطب (إعدام) الدين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secured borrowing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استرداد دين مشطوب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contract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اقتراض مضمون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discount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الشطب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notes receivable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المستنفدة (التكلفة المطفأة)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amortized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العقد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recovery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شركة التخصيم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write-off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خصم تعجيل الدفع (خصم نقدي)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factor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أوراق القبض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recourse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العزل القانوني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holdback (due from factor)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حق الرجوع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pledging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المبلغ المحتجز (مستحق من شركة التخصيم)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effective control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رهن الذمم المدينة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legal isolation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السيطرة الفعلية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34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Section 6.2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Section 6.3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6.3 · Section 6.3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6.4 · The terms and the contrasts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6</dc:title>
  <dc:subject>Receivables: Credit Losses and Transfers</dc:subject>
  <cp:category>Student Book</cp:category>
</cp:coreProperties>
</file>