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Sections 7.1, 7.2 · Inventory I: Goods, Costs and Cost Flows · 56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No: period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inventory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purchase discount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normal capacity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consignment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abnormal waste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consignee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84,000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physical count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288,000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inventory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279,000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93,000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Yes (reduces cost)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279,000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97,633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No: selling expense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7.1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Under FOB shipping point, control passes to the buyer when the goods leave the seller.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Orontes is the consignor and still owns the goods. Barada, the consignee, never includes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Freight-in brings the goods to their present location, so it is part of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Invoice less the discount taken, plus freight-in, import duty and transit insurance.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LIFO sends the newest costs to cost of goods sold, so the oldest costs stay in inventory.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Cost of goods available divided by units available.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A liquidation raises income; it does not create a loss.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Control has not passed, so no sale is recorded yet.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That is specific identification.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The obligation exists now, so the purchase is recorded now.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7.3 · Inventory I: Goods, Costs and Cost Flows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moving average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specific identification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$25,000 + $26,400 = $51,400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$6,600 + $10,000 = $16,600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295,000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1,030,050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overstated by $34,000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inventory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No future benefit exists, so it is not an asset.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Location does not decide; ownership and control do.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Perpetual LIFO can only use costs that exist on each sale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section 7.3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7.3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7.3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Under FOB destination, the seller keeps control until delivery.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Fixed overhead is allocated on normal capacity; the unallocated part is a period expense.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Advertising is a selling cost, expensed when incurred.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FIFO always sells the oldest units first, whatever the timing of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Goods available minus FIFO ending inventory (the newest costs).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150 units remain at the oldest costs: 100 × $10 + 50 × $12 = 1,600.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rule links tax and book methods; it does not force one method everywhere.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olives become an expense only when the products are sold.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practice set · Inventory I: Goods, Costs and Cost Flows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It tracks the cost of each individual item, which is practical only for distinct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With falling prices, LIFO puts the newest, lowest costs into cost of goods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FIFO inventory minus LIFO inventory.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Old, low costs flow into cost of goods sold, so gross profit rises for that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is a U.S. tax rule that links the tax method to the financial statements.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error overstates 2025 income and understates 2026 income by the same amount, so it counterbalances.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After-tax effect = pretax error × (1 − tax rate).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COGS = beginning inventory + purchases − ending inventory, so low ending inventory raises COGS.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Inventory (an asset) and accounts payable (a liability) both increase.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Cost of goods sold links directly to each sale.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LIFO  IAS 2 prohibits LIFO.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7 · Answer Keys</dc:title>
  <dc:subject>Inventory I: Goods, Costs and Cost Flows</dc:subject>
  <cp:category>Student Book</cp:category>
</cp:coreProperties>
</file>