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8.1 · Section 8.2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8 · from section Inventory II: Measurement Tests, Retail Estimates and Choosing a Method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net realizable value (NRV)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نسبة التكلفة إلى سعر التجزئة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lower of cost and net realizable value (LCNRV)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التجزئة التقليدية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lower of cost or market (LCM)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التكلفة أو السوق، أيهما أقل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replacement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تخفيض القيمة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write-down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صافي القيمة القابلة للتحقق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retail inventory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الإحلال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cost-to-retail ratio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التكلفة أو صافي القيمة القابلة للتحقق، أيهما أقل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conventional retail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سعر التجزئة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8.2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ceiling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cost-to-retail ratio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floor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item-by-item basis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purchase commitment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replacement cost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shrinkage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write-down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Under LCM, market starts with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  </w:t>
      </w:r>
      <w:r>
        <w:rPr>
          <w:sz w:val="20"/>
          <w:szCs w:val="20"/>
        </w:rPr>
        <w:t xml:space="preserve">: the current cost to buy or make the item again.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It cannot be higher than a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</w:t>
      </w:r>
      <w:r>
        <w:rPr>
          <w:sz w:val="20"/>
          <w:szCs w:val="20"/>
        </w:rPr>
        <w:t xml:space="preserve"> equal to NRV, and it cannot be lower than a floor equal to NRV minus a normal profit margin.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First, find market: take the middle value of replacement cost, the ceiling and the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floor stops an excessive </w:t>
      </w:r>
      <w:r>
        <w:rPr>
          <w:vertAlign w:val="superscript"/>
          <w:color w:val="353A7C"/>
          <w:b/>
          <w:sz w:val="15"/>
        </w:rPr>
        <w:t>12</w:t>
      </w:r>
      <w:r>
        <w:rPr>
          <w:u w:val="single"/>
          <w:sz w:val="20"/>
          <w:szCs w:val="20"/>
        </w:rPr>
        <w:t xml:space="preserve">                  </w:t>
      </w:r>
      <w:r>
        <w:rPr>
          <w:sz w:val="20"/>
          <w:szCs w:val="20"/>
        </w:rPr>
        <w:t xml:space="preserve"> that would create an abnormally high profit when the goods are sold later.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8.1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27"/>
        <w:gridCol w:w="27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Cost column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Retail column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Freight-in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add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Purchase returns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deduct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Purchase discounts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Net markups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Net markdowns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Net sales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Normal shrinkage and employee discounts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18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classification   </w:t>
      </w:r>
      <w:r>
        <w:rPr>
          <w:b/>
          <w:bCs/>
          <w:sz w:val="19"/>
          <w:szCs w:val="19"/>
        </w:rPr>
        <w:t xml:space="preserve">Cost column? Write one letter beside each item:  A = add · D = deduct · — = —.</w:t>
      </w:r>
    </w:p>
    <w:p>
      <w:pPr>
        <w:spacing w:before="70" w:after="60" w:line="300" w:lineRule="auto"/>
        <w:ind w:left="200"/>
      </w:pPr>
      <w:r>
        <w:rPr>
          <w:b/>
          <w:bCs/>
          <w:color w:val="353A7C"/>
          <w:sz w:val="18"/>
          <w:szCs w:val="18"/>
        </w:rPr>
        <w:t xml:space="preserve">19  </w:t>
      </w:r>
      <w:r>
        <w:rPr>
          <w:sz w:val="18"/>
          <w:szCs w:val="18"/>
        </w:rPr>
        <w:t xml:space="preserve">Freight-in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20  </w:t>
      </w:r>
      <w:r>
        <w:rPr>
          <w:sz w:val="18"/>
          <w:szCs w:val="18"/>
        </w:rPr>
        <w:t xml:space="preserve">Purchase returns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21  </w:t>
      </w:r>
      <w:r>
        <w:rPr>
          <w:sz w:val="18"/>
          <w:szCs w:val="18"/>
        </w:rPr>
        <w:t xml:space="preserve">Purchase discounts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22  </w:t>
      </w:r>
      <w:r>
        <w:rPr>
          <w:sz w:val="18"/>
          <w:szCs w:val="18"/>
        </w:rPr>
        <w:t xml:space="preserve">Net markups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23  </w:t>
      </w:r>
      <w:r>
        <w:rPr>
          <w:sz w:val="18"/>
          <w:szCs w:val="18"/>
        </w:rPr>
        <w:t xml:space="preserve">Net markdowns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24  </w:t>
      </w:r>
      <w:r>
        <w:rPr>
          <w:sz w:val="18"/>
          <w:szCs w:val="18"/>
        </w:rPr>
        <w:t xml:space="preserve">Net sales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25  </w:t>
      </w:r>
      <w:r>
        <w:rPr>
          <w:sz w:val="18"/>
          <w:szCs w:val="18"/>
        </w:rPr>
        <w:t xml:space="preserve">Normal shrinkage and employee discounts  </w:t>
      </w:r>
      <w:r>
        <w:rPr>
          <w:u w:val="single"/>
          <w:sz w:val="18"/>
          <w:szCs w:val="18"/>
        </w:rPr>
        <w:t xml:space="preserve">     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13 to 25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Orontes measures olive oil using FIFO. Which test applies at year-end?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Lower of cost or market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Replacement cost only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Lower of cost and net realizable value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 test; FIFO inventory stays at cost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Which basis gives the largest LCM write-down?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Item by item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Total inventory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By category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All bases give the same write-down.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In the conventional retail method, net markdowns are: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included in the cost-to-retail ratio.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left out of the cost-to-retail ratio.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deducted from the cost column.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ignored completely.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Use the Jebel Ali fire example. What is the estimated inventory at the date of the fire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72,308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88,000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260,000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When prices are rising, which is an advantage of LIFO?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matches current costs with current revenues.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shows inventory close to current cost.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is allowed under IFRS.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needs the fewest records.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For large volumes of identical items, the main disadvantage of specific identification is that: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is not allowed under U.S. GAAP.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always overstates income.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ignores the physical flow of goods.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management can choose which units to sell and so change income.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Cedar Retail S.A.L. reports under IFRS. Prices are rising, and it wants lower taxes. Which recommendation is appropriate?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LIFO, because it lowers taxes when prices rise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FIFO or weighted average, because LIFO is not allowed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Specific identification for all of its items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LIFO retail method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33.  </w:t>
            </w:r>
            <w:r>
              <w:rPr>
                <w:sz w:val="18"/>
                <w:szCs w:val="18"/>
              </w:rPr>
              <w:t xml:space="preserve">Replacement cost is below the floor, so market is the floor, which equals cost. No write-down.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34.  </w:t>
            </w:r>
            <w:r>
              <w:rPr>
                <w:sz w:val="18"/>
                <w:szCs w:val="18"/>
              </w:rPr>
              <w:t xml:space="preserve">added to both the cost and retail columns.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35.  </w:t>
            </w:r>
            <w:r>
              <w:rPr>
                <w:sz w:val="18"/>
                <w:szCs w:val="18"/>
              </w:rPr>
              <w:t xml:space="preserve">Ceiling = NRV = $45; replacement cost is above the ceiling, so market is the ceiling, which is below cost.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36.  </w:t>
            </w:r>
            <w:r>
              <w:rPr>
                <w:sz w:val="18"/>
                <w:szCs w:val="18"/>
              </w:rPr>
              <w:t xml:space="preserve">Income includes large holding gains when prices rise.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37.  </w:t>
            </w:r>
            <w:r>
              <w:rPr>
                <w:sz w:val="18"/>
                <w:szCs w:val="18"/>
              </w:rPr>
              <w:t xml:space="preserve">LIFO puts the newest costs into cost of goods sold.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38.  </w:t>
            </w:r>
            <w:r>
              <w:rPr>
                <w:sz w:val="18"/>
                <w:szCs w:val="18"/>
              </w:rPr>
              <w:t xml:space="preserve">Specific identification, to avoid the IFRS rules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39.  </w:t>
            </w:r>
            <w:r>
              <w:rPr>
                <w:sz w:val="18"/>
                <w:szCs w:val="18"/>
              </w:rPr>
              <w:t xml:space="preserve">Taxes are higher when prices rise.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26 to 39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8.2 · Section 8.3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8 · from section Inventory II: Measurement Tests, Retail Estimates and Choosing a Method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gross profit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الحد الأعلى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ceiling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زيادة سعر البيع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floor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تخفيض سعر البيع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normal profit margin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أساس كل صنف على حدة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item-by-item basis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مجمل الربح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purchase commitment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العجز في المخزون (الفاقد)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markup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هامش الربح العادي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markdown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الحد الأدنى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shrinkage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شراء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8.3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cost-to-retail ratio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item-by-item basis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markup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purchase commitment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replacement cost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shrinkage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write-down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It uses a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        </w:t>
      </w:r>
      <w:r>
        <w:rPr>
          <w:sz w:val="20"/>
          <w:szCs w:val="20"/>
        </w:rPr>
        <w:t xml:space="preserve">: goods available at cost divided by goods available at retail.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</w:t>
      </w:r>
      <w:r>
        <w:rPr>
          <w:sz w:val="20"/>
          <w:szCs w:val="20"/>
        </w:rPr>
        <w:t xml:space="preserve"> raises the selling price above the original retail price.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Freight-in goes in the cost column only; normal </w:t>
      </w:r>
      <w:r>
        <w:rPr>
          <w:vertAlign w:val="superscript"/>
          <w:color w:val="353A7C"/>
          <w:b/>
          <w:sz w:val="15"/>
        </w:rPr>
        <w:t>12</w:t>
      </w:r>
      <w:r>
        <w:rPr>
          <w:u w:val="single"/>
          <w:sz w:val="20"/>
          <w:szCs w:val="20"/>
        </w:rPr>
        <w:t xml:space="preserve">                </w:t>
      </w:r>
      <w:r>
        <w:rPr>
          <w:sz w:val="20"/>
          <w:szCs w:val="20"/>
        </w:rPr>
        <w:t xml:space="preserve"> is deducted from retail after the ratio.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28"/>
        <w:gridCol w:w="18"/>
        <w:gridCol w:w="18"/>
        <w:gridCol w:w="18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Criterion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FIFO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LIFO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Weighted average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Specific identification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Balance sheet (inventory)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Close to current cost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Old costs; can be far out of date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Between the two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Actual cost of each item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Income statement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Exact matching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Taxes when prices rise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18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19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Allowed under IFRS?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20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Yes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Risk of manipulation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23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24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25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26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Cost of records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Higher (layers, conformity)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28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29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29   ·   </w:t>
      </w:r>
      <w:r>
        <w:rPr>
          <w:color w:val="FFFFFF"/>
          <w:sz w:val="15"/>
          <w:szCs w:val="15"/>
        </w:rPr>
        <w:t xml:space="preserve">fewer than 21 right: </w:t>
      </w:r>
      <w:r>
        <w:rPr>
          <w:b/>
          <w:bCs/>
          <w:color w:val="FFFFFF"/>
          <w:sz w:val="15"/>
          <w:szCs w:val="15"/>
        </w:rPr>
        <w:t xml:space="preserve">read section 8.1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classification   </w:t>
      </w:r>
      <w:r>
        <w:rPr>
          <w:b/>
          <w:bCs/>
          <w:sz w:val="19"/>
          <w:szCs w:val="19"/>
        </w:rPr>
        <w:t xml:space="preserve">Weighted average? Write one letter beside each item:  B = Between the two · L = Low · S = Smooths price changes · Y = Yes.</w:t>
      </w:r>
    </w:p>
    <w:p>
      <w:pPr>
        <w:spacing w:before="70" w:after="60" w:line="300" w:lineRule="auto"/>
        <w:ind w:left="200"/>
      </w:pPr>
      <w:r>
        <w:rPr>
          <w:b/>
          <w:bCs/>
          <w:color w:val="353A7C"/>
          <w:sz w:val="18"/>
          <w:szCs w:val="18"/>
        </w:rPr>
        <w:t xml:space="preserve">30  </w:t>
      </w:r>
      <w:r>
        <w:rPr>
          <w:sz w:val="18"/>
          <w:szCs w:val="18"/>
        </w:rPr>
        <w:t xml:space="preserve">Balance sheet (inventory)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31  </w:t>
      </w:r>
      <w:r>
        <w:rPr>
          <w:sz w:val="18"/>
          <w:szCs w:val="18"/>
        </w:rPr>
        <w:t xml:space="preserve">Income statement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32  </w:t>
      </w:r>
      <w:r>
        <w:rPr>
          <w:sz w:val="18"/>
          <w:szCs w:val="18"/>
        </w:rPr>
        <w:t xml:space="preserve">Taxes when prices rise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33  </w:t>
      </w:r>
      <w:r>
        <w:rPr>
          <w:sz w:val="18"/>
          <w:szCs w:val="18"/>
        </w:rPr>
        <w:t xml:space="preserve">Allowed under IFRS?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34  </w:t>
      </w:r>
      <w:r>
        <w:rPr>
          <w:sz w:val="18"/>
          <w:szCs w:val="18"/>
        </w:rPr>
        <w:t xml:space="preserve">Risk of manipulation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35  </w:t>
      </w:r>
      <w:r>
        <w:rPr>
          <w:sz w:val="18"/>
          <w:szCs w:val="18"/>
        </w:rPr>
        <w:t xml:space="preserve">Cost of records  </w:t>
      </w:r>
      <w:r>
        <w:rPr>
          <w:u w:val="single"/>
          <w:sz w:val="18"/>
          <w:szCs w:val="18"/>
        </w:rPr>
        <w:t xml:space="preserve">     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0"/>
        <w:gridCol w:w="50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Orontes olive oil, December 31, 2025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Olive oil cases on hand (FIFO layer from Chapter 7)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Cost per case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$50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New estimated selling price per case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$54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Costs to sell and deliver per case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$6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NRV per case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$48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Inventory at cost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$100,000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Inventory at LCNRV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$96,000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Write-down (loss in income)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$4,000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36.  </w:t>
      </w:r>
      <w:r>
        <w:rPr>
          <w:sz w:val="19"/>
          <w:szCs w:val="19"/>
        </w:rPr>
        <w:t xml:space="preserve">Use the olive-oil example in the panel above. What is the write-down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4,000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12,000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96,000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37.  </w:t>
            </w:r>
            <w:r>
              <w:rPr>
                <w:sz w:val="18"/>
                <w:szCs w:val="18"/>
              </w:rPr>
              <w:t xml:space="preserve">LIFO for the subsidiary and the retail method for the group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38.  </w:t>
            </w:r>
            <w:r>
              <w:rPr>
                <w:sz w:val="18"/>
                <w:szCs w:val="18"/>
              </w:rPr>
              <w:t xml:space="preserve">The loss can never be recovered.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39.  </w:t>
            </w:r>
            <w:r>
              <w:rPr>
                <w:sz w:val="18"/>
                <w:szCs w:val="18"/>
              </w:rPr>
              <w:t xml:space="preserve">The group cannot use LIFO under IFRS, so a non-LIFO method avoids two sets of records.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40.  </w:t>
            </w:r>
            <w:r>
              <w:rPr>
                <w:sz w:val="18"/>
                <w:szCs w:val="18"/>
              </w:rPr>
              <w:t xml:space="preserve">IFRS rules out LIFO, whatever the tax goal.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41.  </w:t>
            </w:r>
            <w:r>
              <w:rPr>
                <w:sz w:val="18"/>
                <w:szCs w:val="18"/>
              </w:rPr>
              <w:t xml:space="preserve">write the inventory down to replacement cost.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42.  </w:t>
            </w:r>
            <w:r>
              <w:rPr>
                <w:sz w:val="18"/>
                <w:szCs w:val="18"/>
              </w:rPr>
              <w:t xml:space="preserve">Each oven is unique and valuable, so the actual cost of each unit can be tracked.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43.  </w:t>
            </w:r>
            <w:r>
              <w:rPr>
                <w:sz w:val="18"/>
                <w:szCs w:val="18"/>
              </w:rPr>
              <w:t xml:space="preserve">The write-down created a new cost basis; U.S. GAAP prohibits reversal in later years.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30 to 43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8.3 · The tables and figures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8 · from section Inventory II: Measurement Tests, Retail Estimates and Choosing a Method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gross profit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أساس كل صنف على حدة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ceiling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الحد الأدنى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floor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زيادة سعر البيع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normal profit margin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مجمل الربح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item-by-item basis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تخفيض سعر البيع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purchase commitment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الحد الأعلى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markup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العجز في المخزون (الفاقد)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markdown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شراء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shrinkage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هامش الربح العادي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Product line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Pomegranate molasses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LCM (market with ceiling and floor)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Rose water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Za'atar mix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Frozen kibbeh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Olive-oil soap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13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8.1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company uses the weighted-average method. At year-end, NRV is below cost. The company should: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write the inventory down to replacement cost.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disclose the decline in the notes only.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record the decline in other comprehensive income.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write the inventory down to NRV and recognize a loss in income.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Date syrup is measured under LIFO. Cost is $50, replacement cost $48, selling price $55, costs to sell $10 and normal profit $6 per case. At what amount per case is it reported?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$39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$45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$48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$50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Under U.S. GAAP, a company wrote inventory down at the end of 2025. In 2026, the selling price recovers. What should the company do?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Nothing; the write-down is not reversed.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Reverse the write-down, up to the original amount.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Reverse the write-down through OCI.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Reverse the write-down only if the recovery happens within one year.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company recognized an inventory write-down in the first quarter. The market price recovers in the third quarter of the same fiscal year. What is the treatment?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loss can never be recovered.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Inventory is written up to the new market price, even above cost.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loss may be recovered in the third quarter, up to the amount written down.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recovery is recorded in OCI.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In the retail inventory method, freight-in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added to both the cost and retail columns.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added to the cost column only.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added to the retail column only.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ignored.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retailer's markup is 25% on cost. What gross profit rate on sales should it use in the gross profit method?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33.3%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75%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20%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20.  </w:t>
            </w:r>
            <w:r>
              <w:rPr>
                <w:sz w:val="18"/>
                <w:szCs w:val="18"/>
              </w:rPr>
              <w:t xml:space="preserve">Losses on firm, non-cancellable purchase commitments are recognized in the current period.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Specific identification for all of its items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22.  </w:t>
            </w:r>
            <w:r>
              <w:rPr>
                <w:sz w:val="18"/>
                <w:szCs w:val="18"/>
              </w:rPr>
              <w:t xml:space="preserve">It cannot be used for U.S. tax returns.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23.  </w:t>
            </w:r>
            <w:r>
              <w:rPr>
                <w:sz w:val="18"/>
                <w:szCs w:val="18"/>
              </w:rPr>
              <w:t xml:space="preserve">Inventory is written up to the new market price, even above cost.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  </w:t>
            </w:r>
            <w:r>
              <w:rPr>
                <w:sz w:val="18"/>
                <w:szCs w:val="18"/>
              </w:rPr>
              <w:t xml:space="preserve">Average-cost inventory uses LCNRV, and the loss goes to income.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IAS 2 requires the reversal, limited to the original write-down.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26.  </w:t>
            </w:r>
            <w:r>
              <w:rPr>
                <w:sz w:val="18"/>
                <w:szCs w:val="18"/>
              </w:rPr>
              <w:t xml:space="preserve">disclose the decline in the notes only.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14 to 26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8.4 · The tables and figures · part 4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8 · from section Inventory II: Measurement Tests, Retail Estimates and Choosing a Method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gross profit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الحد الأعلى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ceiling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زيادة سعر البيع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floor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تخفيض سعر البيع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normal profit margin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أساس كل صنف على حدة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item-by-item basis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مجمل الربح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purchase commitment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العجز في المخزون (الفاقد)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markup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هامش الربح العادي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markdown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الحد الأدنى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shrinkage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شراء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write-down for pomegranate molasses (USD).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1,600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total write-down for all five lines (USD).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total carrying amount of the five lines after the write-downs (USD).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 2026, the NRV of za'atar mix rises to $13 a unit. Under U.S. GAAP, the 2025 write-down: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If Orontes reported under IFRS, how much of the za'atar write-down would it reverse in 2026 (USD)?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13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8.1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The gross profit method is acceptable for: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interim reports and estimating casualty losses.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annual financial statements under U.S. GAAP.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replacing the year-end physical count.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tax returns only.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Orontes signed a firm, non-cancellable contract to buy sesame seeds next year at a fixed price. At year-end, the market price is well below the contract price. What should Orontes do?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Recognize the loss when the seeds arrive.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Disclose the contract only.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Recognize the expected loss now.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Record the difference as an asset.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When prices are rising, which statement about FIFO is TRUE?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Taxes are lower than under LIFO.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Current costs are matched with current revenues.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Ending inventory is close to current cost.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is not allowed under IFRS.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is a disadvantage of LIFO?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Income includes large holding gains when prices rise.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Taxes are higher when prices rise.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cannot be used for U.S. tax returns.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balance sheet can show inventory at very old costs.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company sells custom-built industrial ovens, each with a different cost. Which method should it recommend?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Specific identification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Weighted average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retail inventory method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U.S. subsidiary reports under U.S. GAAP, but its parent prepares IFRS group statements. The parent wants one method for group reporting. Which recommendation fits best?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FIFO or weighted average, so the same records work for the IFRS group statements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LIFO, because the subsidiary reports under U.S. GAAP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LIFO for the subsidiary and the retail method for the group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Specific identification, to avoid the IFRS rules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gross profit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أساس كل صنف على حدة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ceiling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الحد الأدنى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floor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زيادة سعر البيع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normal profit margin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مجمل الربح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item-by-item basis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تخفيض سعر البيع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purchase commitment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الحد الأعلى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markup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العجز في المخزون (الفاقد)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markdown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شراء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shrinkage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هامش الربح العادي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14 to 28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Spiral review (Chapter 7). A FIFO company moves from a periodic to a perpetual system. What happens to cost of goods sold?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increases.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decreases.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does not change.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depends on the timing of sales.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Spiral review (Chapter 7). Ending inventory for 2025 is overstated. What is the effect on 2025 cost of goods sold?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Understated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Overstated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 effect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Overstated in 2025 and in 2026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Which statement about IAS 2 is TRUE?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LIFO inventory uses the lower of cost or market.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write-down is reversed when NRV recovers, up to the original write-down.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retail method must use LCM.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Write-downs are recorded in other comprehensive income.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29 to 31   ·   </w:t>
      </w:r>
      <w:r>
        <w:rPr>
          <w:color w:val="FFFFFF"/>
          <w:sz w:val="15"/>
          <w:szCs w:val="15"/>
        </w:rPr>
        <w:t xml:space="preserve">fewer than 2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8.1 · Section 8.2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8.1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8.2 · Section 8.3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8.2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8.3 · The tables and figures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8.3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8.4 · The tables and figures · part 4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8.4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8</dc:title>
  <dc:subject>Inventory II: Measurement Tests, Retail Estimates and Choosing a Method</dc:subject>
  <cp:category>Student Book</cp:category>
</cp:coreProperties>
</file>