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9.1 · Investments in Debt and Equity Securities · 40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Fair value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Net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Measurement alternative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Net income (price changes, impairment)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+ share of income − dividends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recognized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debt security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 security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fair value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Fair value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OCI (credit losses: net income)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Amortized cost − allowance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9.1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9.1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9.1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It is not bought to trade in the near term, and the possible sales rule out HTM.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Only debt securities have a maturity; shares never qualify.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Beginning carrying amount × market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AFS unrealized gains and losses go to OCI.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credit loss is limited to amortized cost minus fair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With an intent to sell, the whole decline goes to net income as a write-down.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Shares without significant influence are measured at fair value through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A need for cash is not one of the permitted reasons.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The allowance approach applies only when the company does not intend to sell.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AFS has its own model with the fair-value floor.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Both frameworks measure trading debt at fair value through income.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Sections 9.2, 9.4 · Investments in Debt and Equity Securities · 45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952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fair value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effective-interest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investee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reclassification adjustment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 method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significant influence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5,093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basis difference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9.2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9.2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section 9.2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Both intent and ability are required.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Selling HTM securities outside the permitted cases calls the company's intent into question.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Cost minus the premium amortized in 2025.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Fair value minus amortized cost: the loss goes to net income for trading securities.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Sale price minus amortized cost; the accumulated OCI is reclassified.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HTM securities are not remeasured to fair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 one-year view is not enough; the intent must cover the whole period to maturity.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Both frameworks use amortized cost for such debt.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section 9.4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section 9.4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section 9.4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tables and figures · Investments in Debt and Equity Securities · 44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Held-to-maturity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Available-for-sale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Equity: fair value through net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(1,500)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HTM follows CECL; AFS uses an allowance capped by the fair-value floor.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Unrealized gain plus dividend income; both go to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This is the measurement alternative in ASC 321.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Board seats and policy participation show significant influence, even below the usual presumption.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Cost + share of income − extra depreciation − dividends.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Equity-method goodwill is part of the investment and is not amortized.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The credit part goes to net income; only the non-credit part goes to OCI.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A realized gain on sale goes to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AFS is measured at fair value; HTM stays at amortized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It stays inside the single investment account.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With significant influence, the equity method applies (unless the fair value option is elected).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Since ASU 2016-07 the change is applied prospectively.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IFRS 9 allows the FVOCI election for shares; U.S. GAAP puts all changes on shares in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Revenue is recognized as earned, measured by the effective-interest method, not by the cash received.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9 · Answer Keys</dc:title>
  <dc:subject>Investments in Debt and Equity Securities</dc:subject>
  <cp:category>Student Book</cp:category>
</cp:coreProperties>
</file>