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9.1 · Section 9.1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9 · from section Investments in Debt and Equity Securities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debt security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 الآخر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security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trading securities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أوراق مالية بغرض المتاجرة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available-for-sale (AFS) securities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أوراق مالية محتفظ بها حتى تاريخ الاستحقاق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held-to-maturity (HTM) securities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أداة دين (سند)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أوراق مالية متاحة للبيع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comprehensive income (OCI)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أداة حقوق ملكية (أسهم)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العادلة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9.1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debt security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effective-interest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equity security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fair value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measurement alternative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reclassification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significant influence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gives its holder a right to interest and to repayment, like a bond.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An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gives an ownership interest, like shares of common stock.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company may also elect 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 option for a security when it first recognizes it.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9.1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Balance sheet amount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Unrealized gains and losses go to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On sale, OCI is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Trading (debt)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Fair value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Net income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Available-for-sale (debt)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Reclassified to net income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Held-to-maturity (debt)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Not recognized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Equity, no significant influence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Equity, no readily determinable fair value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On sale, OCI is? Write one letter beside each item:  R = Reclassified to net income · — = —.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21  </w:t>
      </w:r>
      <w:r>
        <w:rPr>
          <w:sz w:val="18"/>
          <w:szCs w:val="18"/>
        </w:rPr>
        <w:t xml:space="preserve">Trading (debt)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22  </w:t>
      </w:r>
      <w:r>
        <w:rPr>
          <w:sz w:val="18"/>
          <w:szCs w:val="18"/>
        </w:rPr>
        <w:t xml:space="preserve">Available-for-sale (debt)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23  </w:t>
      </w:r>
      <w:r>
        <w:rPr>
          <w:sz w:val="18"/>
          <w:szCs w:val="18"/>
        </w:rPr>
        <w:t xml:space="preserve">Held-to-maturity (debt)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24  </w:t>
      </w:r>
      <w:r>
        <w:rPr>
          <w:sz w:val="18"/>
          <w:szCs w:val="18"/>
        </w:rPr>
        <w:t xml:space="preserve">Equity, no significant influence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25  </w:t>
      </w:r>
      <w:r>
        <w:rPr>
          <w:sz w:val="18"/>
          <w:szCs w:val="18"/>
        </w:rPr>
        <w:t xml:space="preserve">Equity, no readily determinable fair value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26  </w:t>
      </w:r>
      <w:r>
        <w:rPr>
          <w:sz w:val="18"/>
          <w:szCs w:val="18"/>
        </w:rPr>
        <w:t xml:space="preserve">Equity method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26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Orontes buys a bond and plans to sell it if interest rates fall or if it needs cash. How should it classify the bond?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Held-to-maturity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Trading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Equity method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securities can be classified as held-to-maturity?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Debt securities only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Equity securities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debt and equity securities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Any security with a fixed maturity date or a dividend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Use the Orontes bond. What is interest revenue for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864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5,136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6,000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At year-end, the fair value of an available-for-sale bond is below its amortized cost. There is no credit loss. Where is the decline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Nowhere; AFS stays at amortized cost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Directly in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other comprehensive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Use Case B of the fair-value floor example. What allowance for credit losses is recorded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8,000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An AFS bond is below amortized cost, and the company intends to sell it before it recovers. What is the treatment?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Record an allowance for the credit part only.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Write the bond down to fair value through net income.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Record the whole decline in OCI.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Do nothing until the sale.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Orontes holds 3% of a listed company's shares. How are changes in their fair value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other comprehensive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Not at all; the shares stay at cost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Under the equity method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Shares without significant influence are measured at fair value through net income.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Cost + share of income − extra depreciation − dividends.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36.  </w:t>
            </w:r>
            <w:r>
              <w:rPr>
                <w:sz w:val="18"/>
                <w:szCs w:val="18"/>
              </w:rPr>
              <w:t xml:space="preserve">Nothing, because the sale was for a business reason.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37.  </w:t>
            </w:r>
            <w:r>
              <w:rPr>
                <w:sz w:val="18"/>
                <w:szCs w:val="18"/>
              </w:rPr>
              <w:t xml:space="preserve">Record an allowance for the credit part only.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38.  </w:t>
            </w:r>
            <w:r>
              <w:rPr>
                <w:sz w:val="18"/>
                <w:szCs w:val="18"/>
              </w:rPr>
              <w:t xml:space="preserve">Both HTM and AFS use the same CECL allowance with no limit.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39.  </w:t>
            </w:r>
            <w:r>
              <w:rPr>
                <w:sz w:val="18"/>
                <w:szCs w:val="18"/>
              </w:rPr>
              <w:t xml:space="preserve">Measuring trading debt at fair value through profit or loss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40.  </w:t>
            </w:r>
            <w:r>
              <w:rPr>
                <w:sz w:val="18"/>
                <w:szCs w:val="18"/>
              </w:rPr>
              <w:t xml:space="preserve">Since ASU 2016-07 the change is applied prospectively.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27 to 40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9.2 · Sections 9.2, 9.4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9 · from section Investments in Debt and Equity Securities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effective-interest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بديل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أو خسارة حيازة غير محققة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option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holding gain or 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علاوة إصدار السند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premium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المستثمر فيها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الفائدة الفعلية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significant influence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الأساس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التأثير الجوهري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measurement alternative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خيار القيمة العادلة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basis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J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إصدار السند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9.2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basis difference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effective-interest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fair value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measurement alternative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reclassification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significant influence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trading securities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Trading and AFS securities are reported at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: the price the company would receive if it sold the security in an orderly transaction.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Under the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                        </w:t>
      </w:r>
      <w:r>
        <w:rPr>
          <w:sz w:val="20"/>
          <w:szCs w:val="20"/>
        </w:rPr>
        <w:t xml:space="preserve">, interest revenue for each year is the carrying amount at the start of the year multiplied by the market rate at purchase.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Selling an AFS security: the </w:t>
      </w:r>
      <w:r>
        <w:rPr>
          <w:vertAlign w:val="superscript"/>
          <w:color w:val="353A7C"/>
          <w:b/>
          <w:sz w:val="15"/>
        </w:rPr>
        <w:t>13</w:t>
      </w:r>
      <w:r>
        <w:rPr>
          <w:u w:val="single"/>
          <w:sz w:val="20"/>
          <w:szCs w:val="20"/>
        </w:rPr>
        <w:t xml:space="preserve">                                           </w:t>
      </w:r>
      <w:r>
        <w:rPr>
          <w:sz w:val="20"/>
          <w:szCs w:val="20"/>
        </w:rPr>
        <w:t xml:space="preserve"> While Orontes holds an AFS bond, its unrealized gains and losses build up in accumulated OCI, part of equity.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8"/>
        <w:gridCol w:w="18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Year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Cash interest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Interest revenue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Premium amortized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Amortized cost, end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2025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6,000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5,136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864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101,859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2026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907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100,952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2027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5,048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18   ·   </w:t>
      </w:r>
      <w:r>
        <w:rPr>
          <w:color w:val="FFFFFF"/>
          <w:sz w:val="15"/>
          <w:szCs w:val="15"/>
        </w:rPr>
        <w:t xml:space="preserve">fewer than 13 right: </w:t>
      </w:r>
      <w:r>
        <w:rPr>
          <w:b/>
          <w:bCs/>
          <w:color w:val="FFFFFF"/>
          <w:sz w:val="15"/>
          <w:szCs w:val="15"/>
        </w:rPr>
        <w:t xml:space="preserve">read section 9.1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debt security should be classified as held-to-maturity only if the company has: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positive intent and the ability to hold it until maturity.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 plan to sell it within the next year.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bought it at a discount.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fair value option.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sells a large part of its held-to-maturity portfolio because it needs cash. What is the MOST likely consequence?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Nothing, because the sale was for a business reason.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gain on the sale goes to OCI.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Its remaining HTM securities are tainted and should be reclassified.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securities are reclassified as trading at cost.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Use the Orontes bond. What is the amortized cost at December 31,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101,000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101,859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102,723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Orontes classifies the bond as trading. What amount is reported in 2025 net income for the change in fair value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loss of 2,723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loss of 859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 amount; it goes to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gain of 859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Orontes sells its AFS bond at the end of 2026. Which amount goes to net income as a realized gain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548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859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1,407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How is a held-to-maturity bond reported on the balance sheet?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At 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At face value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At cost, with no amortization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At amortized cost, net of any allowance for credit losses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Cost minus the premium amortized in 2025.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With an intent to sell, the whole decline goes to net income as a write-down.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no plan to sell it within the next year.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Amortized cost for debt held to collect cash flows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HTM follows CECL; AFS uses an allowance capped by the fair-value floor.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Beginning carrying amount × market rate.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Sale price minus amortized cost; the accumulated OCI is reclassified.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19 to 31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effective-interest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بديل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خيار القيمة العادلة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option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الأساس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holding gain or 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علاوة إصدار السند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premium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الفائدة الفعلية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المستثمر فيها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significant influence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التأثير الجوهري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measurement alternative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إصدار السند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basis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J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أو خسارة حيازة غير محققة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9.4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basis difference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effective-interest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equity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investee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measurement alternative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reclassification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significant influence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trading securities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For shares, the key question is how much influence the investor has over the </w:t>
      </w:r>
      <w:r>
        <w:rPr>
          <w:vertAlign w:val="superscript"/>
          <w:color w:val="353A7C"/>
          <w:b/>
          <w:sz w:val="15"/>
        </w:rPr>
        <w:t>42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, the company whose shares it holds.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Influence spectrum: fair value, the </w:t>
      </w:r>
      <w:r>
        <w:rPr>
          <w:vertAlign w:val="superscript"/>
          <w:color w:val="353A7C"/>
          <w:b/>
          <w:sz w:val="15"/>
        </w:rPr>
        <w:t>43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or consolidation, by share of voting stock.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No </w:t>
      </w:r>
      <w:r>
        <w:rPr>
          <w:vertAlign w:val="superscript"/>
          <w:color w:val="353A7C"/>
          <w:b/>
          <w:sz w:val="15"/>
        </w:rPr>
        <w:t>44</w:t>
      </w:r>
      <w:r>
        <w:rPr>
          <w:u w:val="single"/>
          <w:sz w:val="20"/>
          <w:szCs w:val="20"/>
        </w:rPr>
        <w:t xml:space="preserve">                                  </w:t>
      </w:r>
      <w:r>
        <w:rPr>
          <w:sz w:val="20"/>
          <w:szCs w:val="20"/>
        </w:rPr>
        <w:t xml:space="preserve">: fair value through net income Shares with a readily determinable fair value are measured at fair value, and all changes go to net income.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45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 of $300,000 has two parts: $30,000 for Orontes's share of equipment worth more than its book value, which is depreciated over 10 years ($3,000 a year), and $270,000 of goodwill, which is not amortized.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32 to 45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9.3 · The tables and figures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9 · from section Investments in Debt and Equity Securities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Investment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Trading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statement about credit losses on debt securities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AFS allowances are limited to amortized cost minus fair value; HTM allowances have no such limit.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Both HTM and AFS use the same CECL allowance with no limit.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Neither category records credit losses until a default.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AFS credit losses go to OCI.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bought listed shares for $20,000. At year-end they are worth $23,500, and Orontes received dividends of $400. What is the total effect on net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3,500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3,900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company holds shares of a private company with no readily determinable fair value. Which measurement may it elect?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Available-for-sale with changes in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Cost minus impairment, adjusted for observable price changes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Held-to-maturity at amortized cost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equity method, whatever its influence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Orontes owns 15% of a company and holds two of its seven board seats. It takes part in setting its policies. Which method is MOST likely?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equity method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Fair value through net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Consolidation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Available-for-sale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Use the Jordan Glass example. What is the investment balance at December 31,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1,287,000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1,290,000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1,347,000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1,637,000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Under the equity method, the part of the basis difference assigned to goodwill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amortized over ten years.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expensed immediately.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added to the investor's own goodwill account.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not amortized.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10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read section 9.1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AFS credit losses go to OCI.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Unrealized gain plus dividend income; both go to net income.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The gain on the sale goes to OCI.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14.  </w:t>
            </w:r>
            <w:r>
              <w:rPr>
                <w:sz w:val="18"/>
                <w:szCs w:val="18"/>
              </w:rPr>
              <w:t xml:space="preserve">It is not bought to trade in the near term, and the possible sales rule out HTM.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15.  </w:t>
            </w:r>
            <w:r>
              <w:rPr>
                <w:sz w:val="18"/>
                <w:szCs w:val="18"/>
              </w:rPr>
              <w:t xml:space="preserve">Nowhere; AFS stays at amortized cost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  </w:t>
            </w:r>
            <w:r>
              <w:rPr>
                <w:sz w:val="18"/>
                <w:szCs w:val="18"/>
              </w:rPr>
              <w:t xml:space="preserve">added to the investor's own goodwill account.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17.  </w:t>
            </w:r>
            <w:r>
              <w:rPr>
                <w:sz w:val="18"/>
                <w:szCs w:val="18"/>
              </w:rPr>
              <w:t xml:space="preserve">It keeps fair value through net income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effective-interest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بديل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أو خسارة حيازة غير محققة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option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holding gain or 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علاوة إصدار السند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premium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المستثمر فيها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الفائدة الفعلية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significant influence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الأساس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التأثير الجوهري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measurement alternative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خيار القيمة العادلة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basis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J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إصدار السند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11 to 27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total unrealized holding gain (or loss) reported in 2025 NET INCOME for investments A to D.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4,000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amount reported in 2025 OTHER COMPREHENSIVE INCOME (show a loss in parentheses).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28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carrying amount of investment E at December 31, 2025.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equity-method income from investment E for 2025.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An investor first gains significant influence by buying more shares. How does it apply the equity method?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Retroactively, restating all prior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Only from the next fiscal year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keeps fair value through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From the date it gains influence, with no restatement of prior years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Which option exists under IFRS 9 but NOT under U.S. GAAP?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Measuring trading debt at fair value through profit or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irrevocable election to put fair value changes on shares in OCI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equity method for associates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Amortized cost for debt held to collect cash flows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Spiral review (Chapter 1). Interest revenue on a bond is recognized each year even when the premium makes the cash received higher than the revenue. Which basis does this follow?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direct write-off method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accrual basis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Spiral review (Chapter 6). Which debt investments follow the same CECL model as trade receivables?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Held-to-maturity securities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Trading securities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Available-for-sale securities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Shares measured at fair value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28 to 34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effective-interest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بديل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خيار القيمة العادلة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option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الأساس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holding gain or 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علاوة إصدار السند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premium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الفائدة الفعلية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bond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المستثمر فيها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significant influence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حقوق الملكية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investee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التأثير الجوهري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measurement alternative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إصدار السند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basis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J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أو خسارة حيازة غير محققة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35 to 44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9.1 · Section 9.1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9.2 · Sections 9.2, 9.4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9.3 · The tables and figures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9.3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9</dc:title>
  <dc:subject>Investments in Debt and Equity Securities</dc:subject>
  <cp:category>Student Book</cp:category>
</cp:coreProperties>
</file>