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10.1 · Long-Lived Assets: Depreciation, Disposal and Impairment · 31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Highest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Lowest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Highest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Low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Follows use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Same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Same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 effect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capital expenditure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 effect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revenue expenditure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capitalized interest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10.1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10.1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10.1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Installation and testing are needed to get the machine ready for use.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Avoidable interest, which is below the actual interest incurred.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28   </w:t>
      </w:r>
      <w:r>
        <w:rPr>
          <w:sz w:val="15"/>
          <w:szCs w:val="15"/>
        </w:rPr>
        <w:t xml:space="preserve">40% × beginning book value of $720,000.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It is a change in accounting estimate.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Expense follows the actual kilometres driven.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Most of its benefit comes in the early years.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10.2 · Long-Lived Assets: Depreciation, Disposal and Impairment · 32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depreciable base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useful life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salvage value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150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324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is not reversed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The old building is removed; it has no future cost.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The cost relates to preparing the site, which is part of land.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The recoverability step does not apply to indefinite-lived intangibles.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Reinvestment does not defer the gain under U.S. GAAP.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7   </w:t>
      </w:r>
      <w:r>
        <w:rPr>
          <w:sz w:val="15"/>
          <w:szCs w:val="15"/>
        </w:rPr>
        <w:t xml:space="preserve">Recoverable amount is the HIGHER of the two.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section 10.2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section 10.2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section 10.2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Proceeds minus the carrying amount after depreciation to the sale date.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Disposals of fixed assets are peripheral activities.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Recoverability fails, so the loss is carrying amount minus fair value.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Retained earnings are adjusted only for error corrections.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Depreciation stops.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32   </w:t>
      </w:r>
      <w:r>
        <w:rPr>
          <w:sz w:val="15"/>
          <w:szCs w:val="15"/>
        </w:rPr>
        <w:t xml:space="preserve">This reverses the effect.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Sections 10.4, 10.5 · Long-Lived Assets: Depreciation, Disposal and Impairment · 36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carrying amount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carrying amount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involuntary conversion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asset group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commercial substance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recoverability test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impairment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10.4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10.4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10.4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Demolition prepares the land for its intended use.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350,000  Depreciable base × 5/15.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The rate is applied to cost; salvage is not subtracted first.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Early expense is higher, so income and book value are lower.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(Current book value − new salvage) ÷ remaining life.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Cost minus proceeds is charged to accumulated depreciation for the group.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Depreciation is non-cash; only taxes can change cash.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No catch-up adjustment is made for a change in estimate.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There is no partial capitalization.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There is no restatement.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Ordinary repairs after use begins are expenses.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10.4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10.5 · Long-Lived Assets: Depreciation, Disposal and Impairment · 37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amortization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reporting unit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goodwill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Expense then follows the actual machine hours.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   </w:t>
      </w:r>
      <w:r>
        <w:rPr>
          <w:sz w:val="15"/>
          <w:szCs w:val="15"/>
        </w:rPr>
        <w:t xml:space="preserve">Carrying amount = 50,000 − 30,000 − 2,000 = 18,000; 17,000 − 18,000 = a loss of 1,000.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Involuntary conversions produce a gain or loss even if the proceeds are reinvested.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   </w:t>
      </w:r>
      <w:r>
        <w:rPr>
          <w:sz w:val="15"/>
          <w:szCs w:val="15"/>
        </w:rPr>
        <w:t xml:space="preserve">Undiscounted cash flows exceed the carrying amount, so the asset is recoverable.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5   </w:t>
      </w:r>
      <w:r>
        <w:rPr>
          <w:sz w:val="15"/>
          <w:szCs w:val="15"/>
        </w:rPr>
        <w:t xml:space="preserve">Held-for-sale assets stop being depreciated and are carried at the lower amount.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Indefinite-lived intangibles compare carrying amount with fair value directly.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section 10.5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section 10.5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section 10.5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Single-step test under ASU 2017-04.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U.S. GAAP expenses R&amp;D as incurred (ASC 730); the IAS 38 criteria do not apply.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IAS 36 allows reversals except for goodwill.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Accumulated depreciation reduces assets; the expense reduces equity through net income.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10.4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10 · Answer Keys</dc:title>
  <dc:subject>Long-Lived Assets: Depreciation, Disposal and Impairment</dc:subject>
  <cp:category>Student Book</cp:category>
</cp:coreProperties>
</file>