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11.1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Sections 11.3, 11.4 · Revenue Recognition · 41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Fulfillment cost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transaction price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variable consideration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revenue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revenue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output method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Performance obligation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over time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Reduces the transaction price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contract asset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Reduces the transaction price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11.3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11.3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11.3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Control transfer is the core principle.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Each step uses the result of the one before.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U.S. probable means likely, a higher level than 55%.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Consideration payable to a customer reduces revenue unless it buys a distinct good or service.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Payment before performance creates a contract liability.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The consignee does not control the goods; the sale happens when they are sold 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Incremental costs of obtaining a contract are capitalized if recoverable; the period is more than one year.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It is not a default method.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There is no size limit.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No pricing discretion suggests an agent.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A fixed commission suggests an agent.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11.2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11.5 · Revenue Recognition · 31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56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revenue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224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agent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26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refund liability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as a reduction of revenue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principal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A performance obligation is a distinct promise.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Oil delivered + dispenser + three months of maintenance, all at allocated prices.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8   </w:t>
      </w:r>
      <w:r>
        <w:rPr>
          <w:sz w:val="15"/>
          <w:szCs w:val="15"/>
        </w:rPr>
        <w:t xml:space="preserve">Nonrefundable does not mean earned.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Payment timing does not define obligations.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Timing follows control, not a calendar date.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section 11.5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section 11.5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section 11.5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section 11.5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Revenue comes from main activities with customers.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Revenue follows the transfer of control.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Inventory risk shows control before transfer.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Payment is not one of the bill-and-hold criteria.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A repurchase at or above the original price means control has not passed.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11.3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11.5 · part 3 · Revenue Recognition · 51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bill-and-hold arrangement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material right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breakage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This is one of the criteria.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This is one of the criteria.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More likely than not is the IFRS 15 meaning.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section 11.5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section 11.5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section 11.5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The fee relates to future services, not to a distinct service at signing.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The practical expedient applies only when the gap is one year or less.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Amounts collected for third parties are not revenue.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The residual approach is a limited exception.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The first over-time criterion is met.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The builder improves an asset the customer controls.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Input methods measure the company's efforts.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Its right to payment depends on something other than time.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11.1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11.2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11.3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11 · Answer Keys</dc:title>
  <dc:subject>Revenue Recognition</dc:subject>
  <cp:category>Student Book</cp:category>
</cp:coreProperties>
</file>