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12.5 · Current Liabilities and Warranties · 37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Split between current and noncurrent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Current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assurance-type warranty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warranty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713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service-type warranty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current in full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Noncurrent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Current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12.5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12.5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12.5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Short-term liabilities are measured at the amount to be paid.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employer's own social security: 7% of $40,000.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 gives only assurance, not an extra service.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Deposits are contract liabilities.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This agreement qualifies.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practice set · Current Liabilities and Warranties · 24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Debt principal is a financing item.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Short-term debt can be noncurrent if refinanced properly.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Repairs are probable and estimable, so they are accrued.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It is not the employer's own tax.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No assets will be paid for a stock dividend.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Total = sales × 1.05, so sales = 10,500 ÷ 1.05.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The employer holds the amount for the government.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Nonvesting, nonaccumulating sick pay need not be accrued.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Amounts owed to the state are not breakage; they remain a liability.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Both intent and demonstrated ability are required.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U.S. GAAP counts refinancing before issuance.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Repairing existing defects is assurance.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Trade payables are at the amount owed, not fair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Service-type warranties are not accrued as costs.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practice set · part 3 · Current Liabilities and Warranties · 24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A subjective acceleration clause makes the agreement fail.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The rule does not apply to trade payables and accruals in the operating cycle.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The refinancing happened after the statements were issued.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ASC 470 requires this disclosure.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Only the amount refinanced is noncurrent.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The right to defer did not exist at the reporting date.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A separately sold warranty is a service-type performance obligation.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Accrual of $24,000 minus $9,000 of repairs.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Long coverage suggests an extra service.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Matching: the cost belongs to the revenue it supports.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ASC 606 treats an inseparable combination as a single obligation.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IAS 37 uses a lower threshold than the U.S. 'probable'.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Gross wages plus the employer's social security.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12 · Answer Keys</dc:title>
  <dc:subject>Current Liabilities and Warranties</dc:subject>
  <cp:category>Student Book</cp:category>
</cp:coreProperties>
</file>