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tables and figures · Income Taxes · 30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Temporary, deductible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Temporary, deductible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Permanent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Permanent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Permanent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Temporary, taxable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Deferred tax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Deferred taxes match tax expense to the period of the related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is never taxable, so it never reverses.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Less tax now means more tax later.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U.S. GAAP records the full DTA and a separate allowance.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U.S. GAAP uses enacted rates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An allowance is needed for the part not expected to be realized.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20-year limit applied to older losses.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tables and figures · part 2 · Income Taxes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Deductible temporary difference (DTA)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Permanent difference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Taxable temporary difference (DTL)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98,500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Deductible temporary difference (DTA)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25% of the 400,000 increase in net taxable temporary differences.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Pretax income adjusted for the permanent and temporary differences.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Current tax $357,000 + deferred tax $140,500.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Permanent differences change the effective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Existing deferred taxes are not remeasured.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There is no averaging rule.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practice set · Income Taxes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Total expense has a current and a deferred part.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Increase in DTL of $80,000 less increase in DTA of $20,000.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enactment date decides the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Intraperiod allocation keeps tax with the item that caused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Permanent differences change taxable income and the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Step 1 of the uncertain tax position model.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The enactment date, not the effective date, decides the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 effective date is not the trigger.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Future profits support realization.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No refund appears in the statements.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reverses when the repairs are paid.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Tax is paid now on income recognized later, so future tax will be lower.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Tax will be paid later, as cash is collected.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They are in one income but never in the other.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13 · Answer Keys</dc:title>
  <dc:subject>Income Taxes</dc:subject>
  <cp:category>Student Book</cp:category>
</cp:coreProperties>
</file>