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13.1 · The tables and figures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13 · from section Income Taxes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taxable income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الضريبة المُقر (المسنون)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بين الفترات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permanent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دائم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deferred tax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ضريبي مؤجل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deferred tax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الخاضع للضريبة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valuation allowance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ضريبي مؤجل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enacted tax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interperiod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مخصص التقييم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27"/>
        <w:gridCol w:w="27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Type of difference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Creates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Tax depreciation faster than book (bonus, MACRS)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Temporary, taxable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Deferred tax liability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Installment sale: revenue now, taxed when cash is collected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9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Warranty or litigation accrual, deductible when paid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Deferred tax asset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Rent received in advance, taxed when received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Deferred tax asset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Tax-exempt municipal bond interest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Fines and penalties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Life insurance premiums when the company is the beneficiary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18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18   ·   </w:t>
      </w:r>
      <w:r>
        <w:rPr>
          <w:color w:val="FFFFFF"/>
          <w:sz w:val="15"/>
          <w:szCs w:val="15"/>
        </w:rPr>
        <w:t xml:space="preserve">fewer than 13 right: </w:t>
      </w:r>
      <w:r>
        <w:rPr>
          <w:b/>
          <w:bCs/>
          <w:color w:val="FFFFFF"/>
          <w:sz w:val="15"/>
          <w:szCs w:val="15"/>
        </w:rPr>
        <w:t xml:space="preserve">read section 13.1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What is the purpose of interperiod tax allocation?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To report only the tax paid in cash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To make taxable income equal book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 spread tax expense evenly over five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 recognize the tax effects of transactions in the same periods as the transactions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item is a permanent difference?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Accelerated tax depreciation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Interest on tax-exempt municipal bonds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accrued warranty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Rent received in advance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company deducts depreciation faster for tax than for books. This creates: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deferred tax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permanent difference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deferred tax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valuation allowance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has a deferred tax asset of $100,000. It is more likely than not that only $60,000 will be realized. It reports: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$60,000 asset with no allowance account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$100,000 asset with no allowance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$40,000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$100,000 asset and a $40,000 valuation allowance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tax rate cut has been announced by the government but not yet signed into law. Under IFRS it is substantively enacted. Which rate does a U.S. GAAP company use?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announced rate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average of the two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rate the company expects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current enacted rate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a $100,000 asset with no allowance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carry it forward for 20 years only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Permanent differences change taxable income and the expense.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Increase in DTL of $80,000 less increase in DTA of $20,000.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Total expense has a current and a deferred part.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Post-2017 federal NOLs have no carryback and an 80% limit.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Intraperiod allocation keeps tax with the item that caused it.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19 to 30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13.2 · The tables and figures · part 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13 · from section Income Taxes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المؤجلة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deferred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ترحيل صافي الخسارة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taxable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مركز ضريبي غير مؤكد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deductible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الأساس الضريبي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الجارية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 tax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operating loss carryforward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قابل للخصم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uncertain tax position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خاضع للضريبة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الضريبة الفعلي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Municipal bond interest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Permanent difference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Late-filing fine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Tax depreciation above book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Warranty liability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Rent received in advance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0"/>
        <w:gridCol w:w="50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 Foods Inc., 2025 (whole USD)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before income taxes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tax expense (25% combined federal and state rate)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989,700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Current tax expense (taxes on 2025 taxable income)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889,700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Deferred tax expense (25% of the 400,000 increase in net taxable temporary differences)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taxes paid in cash (Chapter 5)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Deferred tax liability, January 1, 2025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Deferred tax liability, December 31, 2025 (after the 375 tax effect of the OCI loss)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999,625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Use the panel above. What is Orontes's deferred tax expense for 2025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400,000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989,700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999,625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Use the panel above. What is Orontes's 2026 taxable income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357,000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1,428,000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1,990,000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2,000,000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Use the panel above. What is Orontes's total income tax expense for 2026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159,500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357,000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497,500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500,000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17.  </w:t>
            </w:r>
            <w:r>
              <w:rPr>
                <w:sz w:val="18"/>
                <w:szCs w:val="18"/>
              </w:rPr>
              <w:t xml:space="preserve">pretax income times the tax rate in all cases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By remeasuring all deferred taxes at 15%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25% of the 400,000 increase in net taxable temporary differences.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IAS 12 recognizes only the probable amount.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Current tax $357,000 + deferred tax $140,500.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To spread tax expense evenly over five years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They are in one income but never in the other.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23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الأساس الضريبي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deferred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خاضع للضريبة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taxable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ترحيل صافي الخسارة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deductible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الجارية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مركز ضريبي غير مؤكد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 tax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المؤجلة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operating loss carryforward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uncertain tax position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الضريبة الفعلي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قابل للخصم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2027 taxable income.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352,000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2027 current tax expense.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2027 deferred tax expense.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2027 total income tax expense.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24 to 35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13.3 · The practice set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13 · from section Income Taxes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Income tax expense on the income statement equals: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current tax expense plus deferred tax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income taxes paid in cash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taxable income times the tax rate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pretax income times the tax rate in all cases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A company's deferred tax liability rose from $300,000 to $380,000, and its deferred tax asset rose from $50,000 to $70,000. What is deferred tax expense?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$60,000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$80,000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$310,000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A law signed on July 4 cuts the tax rate from next year. When does the company record the effect on its deferred tax balances?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Next year, when the new rate applies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the period that includes July 4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Over the years the differences reverse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Never; only current tax changes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A company has an unrealized loss on AFS debt securities in OCI. Its tax effect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shown with the OCI item, not in income tax expense on continuing operations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ignored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added to current tax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recorded in 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Pretax income is $500,000, and there are no temporary differences. It includes $20,000 of tax-exempt interest and a $10,000 nondeductible fine. At a 25% rate, what is income tax expense?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$122,500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$125,000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$127,500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$132,500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Under U.S. GAAP, a tax position is recognized in the financial statements if it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more likely than not to be sustained on its technical merits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certain to be accepted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probable in the IFRS sense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not yet examined by the tax authority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Taxes paid = current tax − increase in taxes payable (Chapter 5).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Only in 2028, when the new rate applies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U.S. GAAP uses enacted rates only.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Next year, when the new rate applies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Pretax income adjusted for the permanent and temporary differences.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A signed contract that will produce taxable profits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Orontes had a tax refund from 2024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13.1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المؤجلة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deferred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ترحيل صافي الخسارة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taxable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مركز ضريبي غير مؤكد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deductible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الأساس الضريبي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الجارية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 tax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operating loss carryforward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قابل للخصم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uncertain tax position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خاضع للضريبة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الضريبة الفعلي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item creates a temporary difference?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fine for breaking the law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Tax-exempt municipal interest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accrued warranty expense deductible for tax when paid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Life insurance premiums on an officer, where the company is the beneficiary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company receives rent for next year in advance. Tax law taxes it now; GAAP recognizes it next year. This creates: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taxable temporary difference and a deferred tax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permanent difference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 difference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deductible temporary difference and a deferred tax asset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A company uses the installment method for tax, but recognizes the full sale for books. The difference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deductible temporary difference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taxable temporary difference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permanent difference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valuation allowance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How do permanent differences affect the financial statements?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They create deferred tax assets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They create deferred tax liabilities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have no effect at all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change the effective tax rate but create no deferred taxes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evidence MOST suggests that a valuation allowance is needed?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Cumulative losses in recent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long record of profits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Large deferred tax liabilities reversing in the same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signed contract that will produce taxable profits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A U.S. company has a federal tax loss in 2026. Under current law it can: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carry it back two years for a refund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carry the loss forward without a time limit, using it against up to 80% of future taxable income each year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carry it forward for 20 years only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deduct it only in 2027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28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الأساس الضريبي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deferred tax expense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خاضع للضريبة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taxable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ترحيل صافي الخسارة التشغيلية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deductible temporary difference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الجارية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tax basis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مركز ضريبي غير مؤكد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effective tax rate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مصروف الضريبة المؤجلة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operating loss carryforward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توزيع الضريبة داخل الفترة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uncertain tax position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معدل الضريبة الفعلي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intraperiod tax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فرق مؤقت قابل للخصم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38.  </w:t>
      </w:r>
      <w:r>
        <w:rPr>
          <w:sz w:val="19"/>
          <w:szCs w:val="19"/>
        </w:rPr>
        <w:t xml:space="preserve">A company has a deferred tax liability in the United States and a deferred tax asset in France. How are they presented?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one net amount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current items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in the notes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Separately: they are in different tax jurisdictions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39.  </w:t>
      </w:r>
      <w:r>
        <w:rPr>
          <w:sz w:val="19"/>
          <w:szCs w:val="19"/>
        </w:rPr>
        <w:t xml:space="preserve">A company's DTL of $200,000 (at 25%) relates to differences that reverse after a new enacted rate of 21% takes effect. What is the DTL?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$42,000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$168,000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$200,000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$232,000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40.  </w:t>
      </w:r>
      <w:r>
        <w:rPr>
          <w:sz w:val="19"/>
          <w:szCs w:val="19"/>
        </w:rPr>
        <w:t xml:space="preserve">An IFRS company expects to use only $60,000 of a potential $100,000 deferred tax asset. Under IAS 12 it reports: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$100,000 asset and a $40,000 allowance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 deferred tax asset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deferred tax asset of $60,000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$100,000 asset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41.  </w:t>
      </w:r>
      <w:r>
        <w:rPr>
          <w:sz w:val="19"/>
          <w:szCs w:val="19"/>
        </w:rPr>
        <w:t xml:space="preserve">How does a U.S. company account for the Pillar Two global minimum top-up tax?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By recording a deferred tax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current cost in the period, with no deferred taxes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By remeasuring all deferred taxes at 15%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42.  </w:t>
      </w:r>
      <w:r>
        <w:rPr>
          <w:sz w:val="19"/>
          <w:szCs w:val="19"/>
        </w:rPr>
        <w:t xml:space="preserve">Under ASU 2023-09, a public company with a 21% statutory rate must separately show a reconciling item when it is at least: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1% of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5% of pretax income multiplied by the statutory rate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10% of tax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any amount, however small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43.  </w:t>
      </w:r>
      <w:r>
        <w:rPr>
          <w:sz w:val="19"/>
          <w:szCs w:val="19"/>
        </w:rPr>
        <w:t xml:space="preserve">Which pair lists one taxable and one deductible temporary difference?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Accelerated tax depreciation; accrued litigation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Municipal interest; fines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Accrued warranty; allowance for credit losses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Installment sale; accelerated tax depreciation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29 to 43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0"/>
        <w:gridCol w:w="50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 Foods Inc., 2025 (whole USD)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before income taxes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3,958,800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tax expense (25% combined federal and state rate)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989,700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Current tax expense (taxes on 2025 taxable income)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889,700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Deferred tax expense (25% of the 400,000 increase in net taxable temporary differences)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taxes paid in cash (Chapter 5)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Deferred tax liability, January 1, 2025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Deferred tax liability, December 31, 2025 (after the 375 tax effect of the OCI loss)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999,625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44.  </w:t>
      </w:r>
      <w:r>
        <w:rPr>
          <w:sz w:val="19"/>
          <w:szCs w:val="19"/>
        </w:rPr>
        <w:t xml:space="preserve">Use the panel above. Why did Orontes pay less tax in 2025 than its current tax expense?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Deferred tax is paid in cash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Income taxes payable rose, so part of the current tax was still unpaid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OCI loss reduced taxes paid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Orontes had a tax refund from 2024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45.  </w:t>
      </w:r>
      <w:r>
        <w:rPr>
          <w:sz w:val="19"/>
          <w:szCs w:val="19"/>
        </w:rPr>
        <w:t xml:space="preserve">Use the panel above. Which balances does Orontes carry at the end of 2026 for the equipment and the warranty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DTA of 150,000 and a DTL of 9,500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current DTL of 140,500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DTL of 150,000 and a DTA of 9,500, shown as one net noncurrent DTL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deferred taxes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44 to 45   ·   </w:t>
      </w:r>
      <w:r>
        <w:rPr>
          <w:color w:val="FFFFFF"/>
          <w:sz w:val="15"/>
          <w:szCs w:val="15"/>
        </w:rPr>
        <w:t xml:space="preserve">fewer than 1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13.1 · The tables and figures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13.2 · The tables and figures · part 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13.3 · The practice set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13.3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13</dc:title>
  <dc:subject>Income Taxes</dc:subject>
  <cp:category>Student Book</cp:category>
</cp:coreProperties>
</file>