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14.1 · Leases · 30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lease term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One lease cost in operating expenses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(part of the single payment)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Liability 346,510; ROU asset 346,510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lessee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An identified asset, controlled by Orontes, for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Include renewal periods reasonably certain to be 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None of the five criteria is met.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Only non-PBEs may elect the risk-free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Finance-lease principal is repayment of a liability.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ASC 842 classifies all operating-lease payments as operating.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Only leases of 12 months or less can be exempted.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Use alone does not create control of an identified asset.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Only reasonably certain renewals are in the term.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No sale occurs when the leaseback is a finance lease.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14.2 · Leases · 24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lease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finance lease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53,498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53,498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activities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14.2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14.2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14.2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Meeting any one criterion is enough; the press meets two.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present value of the five payments at 6%.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Classification does not change.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Failing one test does not matter if another is met.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Classification depends on the criteria, not the asset type.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This is a service contract; no asset is controlled.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 14.3 · Leases · 21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lease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right-of-use 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lessee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section 14.3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section 14.3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section 14.3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section 14.3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Without an identified asset there is no lease.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About 78% of the life meets the major-part test; one criterion is enough.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A reasonably certain purchase option is one of the five criteria.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Substance, tested by the criteria, decides.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exemption keeps short-term leases off the balance sheet.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A finance leaseback means control has not passed.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low-value exemption is IFRS 16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Legal labels do not decide the class.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leaseback is a finance lease.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Sales-based variable payments are expensed when incurred.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14.4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Sections 14.4, 14.6 · Leases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short-term lease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lessee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finance lease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right-of-use asset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lease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finance lease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14.4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14.4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14.4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14.4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Liability + initial direct costs − incentives.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Index-based payments are included at the current index.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Interest falls as the liability falls: front-loaded.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$100,000 + $8,000 interest − $30,000.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Index changes alone do not trigger remeasurement.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Operating leases show one combined lease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section 14.6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section 14.6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section 14.6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section 14.6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14.4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14 · Answer Keys</dc:title>
  <dc:subject>Leases</dc:subject>
  <cp:category>Student Book</cp:category>
</cp:coreProperties>
</file>