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15.3 · Measuring Income: Gains, Losses, Comprehensive Income and Discontinued Operations · 35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Full treatment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Contrast IFRS 5 and IFRS OCI rules.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comprehensive 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gain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reclassification adjustment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loss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15.3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Selling equipment is peripheral to Orontes's main activities.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cost is spread over the periods that benefit.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Advertising is a period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Leaving a major geographic area is a strategic shift.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All three conditions are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All periods are shown on the same basis.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Most gains and losses are in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Extraordinary items no longer exist.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Capitalizing development costs after feasibility is an IFRS rule.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15.4 · Measuring Income: Gains, Losses, Comprehensive Income and Discontinued Operations · 34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Discontinued operations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Discontinued operations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Other comprehensive income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3,660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discontinued operation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strategic shift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3,672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loss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Continuing operations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15.4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15.4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15.4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Losses on operating assets are usually operating expenses.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Holding gain $2,000 minus the reclassification of $10,000.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Carrying amount $3,180,000 minus fair value less cost to sell $3,000,000.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Prepaid rent benefits the next period too.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Realized gains on equipment are in net income.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practice set · Measuring Income: Gains, Losses, Comprehensive Income and Discontinued Operations · 36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a gain of $60,000 in other income  Gains are shown net.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Unusual items stay in continuing operations.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This is the definition in the conceptual framework.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Commissions are directly linked to the related revenue.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ASC 730 requires R&amp;D to be expensed.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The cost is allocated to the periods that benefit.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Comparative years are still presented.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Revaluation surplus is not recycled.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Selling olive oil is Orontes's main activity.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Translation adjustments are OCI items.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gain moves out of AOCI into net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Net income plus OCI of $30,000.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Reclassification ensures each gain is counted once.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All six criteria must be met, not only board approval.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15 · Answer Keys</dc:title>
  <dc:subject>Measuring Income: Gains, Losses, Comprehensive Income and Discontinued Operations</dc:subject>
  <cp:category>Student Book</cp:category>
</cp:coreProperties>
</file>