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officedocument.wordprocessingml.numbering+xml" PartName="/word/numbering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package.core-properties+xml" PartName="/docProps/cor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header+xml" PartName="/word/header3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spacing w:after="20" w:before="60"/>
      </w:pPr>
      <w:r>
        <w:rPr>
          <w:b/>
          <w:bCs/>
          <w:color w:val="353A7C"/>
          <w:sz w:val="40"/>
          <w:szCs w:val="40"/>
        </w:rPr>
        <w:t xml:space="preserve">Handout 16.1 · Answer Key</w:t>
      </w:r>
    </w:p>
    <w:p>
      <w:pPr>
        <w:spacing w:after="130"/>
      </w:pPr>
      <w:r>
        <w:rPr>
          <w:color w:val="6B7280"/>
          <w:sz w:val="20"/>
          <w:szCs w:val="20"/>
        </w:rPr>
        <w:t xml:space="preserve">Sections 16.1, 16.3 · Consolidated Financial Statements · 44 items · keep this sheet separate from the handout</w:t>
      </w:r>
    </w:p>
    <w:tbl>
      <w:tblPr>
        <w:tblW w:type="pct" w:w="100%"/>
        <w:tblBorders>
          <w:top w:val="single" w:color="DFE3EE" w:sz="4"/>
          <w:left w:val="single" w:color="DFE3EE" w:sz="4"/>
          <w:bottom w:val="single" w:color="DFE3EE" w:sz="4"/>
          <w:right w:val="single" w:color="DFE3EE" w:sz="4"/>
          <w:insideH w:val="single" w:color="DFE3EE" w:sz="4"/>
          <w:insideV w:val="single" w:color="DFE3EE" w:sz="4"/>
        </w:tblBorders>
      </w:tblPr>
      <w:tblGrid>
        <w:gridCol w:w="5"/>
        <w:gridCol w:w="28"/>
        <w:gridCol w:w="5"/>
        <w:gridCol w:w="28"/>
        <w:gridCol w:w="5"/>
        <w:gridCol w:w="29"/>
      </w:tblGrid>
      <w:tr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#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Answer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#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Answer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#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Answer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16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(C)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31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C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G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17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(D)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32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C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18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(A)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33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D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4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19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(D)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34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H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5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D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20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(B)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35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A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6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H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21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(B)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36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B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7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A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22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True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37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subsidiary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8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B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23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True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38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equity method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9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parent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24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True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39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unrealized profit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10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subsidiary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25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True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40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proportionate consolidation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11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noncontrolling interest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26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True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41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900,000 − 120,000 − 25,000 = 755,000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12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One line: investment and share of income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27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True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42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20% × 755,000 = 151,000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13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Jordan Glass (30%)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28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False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43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(20,000)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14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Investor's share of each line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29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44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1,900,000 + 151,000 − 20,000 = 2,031,000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15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Not used by Orontes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30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G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/>
            </w:r>
          </w:p>
        </w:tc>
      </w:tr>
    </w:tbl>
    <w:p/>
    <w:p>
      <w:pPr>
        <w:spacing w:before="110" w:after="50"/>
        <w:pBdr>
          <w:top w:val="single" w:sz="8" w:space="5" w:color="1F7A6A"/>
        </w:pBdr>
      </w:pPr>
      <w:r>
        <w:rPr>
          <w:b/>
          <w:bCs/>
          <w:color w:val="1F7A6A"/>
          <w:sz w:val="17"/>
          <w:szCs w:val="17"/>
        </w:rPr>
        <w:t xml:space="preserve">Why, where it is worth saying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9   </w:t>
      </w:r>
      <w:r>
        <w:rPr>
          <w:sz w:val="15"/>
          <w:szCs w:val="15"/>
        </w:rPr>
        <w:t xml:space="preserve">section 16.1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10   </w:t>
      </w:r>
      <w:r>
        <w:rPr>
          <w:sz w:val="15"/>
          <w:szCs w:val="15"/>
        </w:rPr>
        <w:t xml:space="preserve">section 16.1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11   </w:t>
      </w:r>
      <w:r>
        <w:rPr>
          <w:sz w:val="15"/>
          <w:szCs w:val="15"/>
        </w:rPr>
        <w:t xml:space="preserve">section 16.1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16   </w:t>
      </w:r>
      <w:r>
        <w:rPr>
          <w:sz w:val="15"/>
          <w:szCs w:val="15"/>
        </w:rPr>
        <w:t xml:space="preserve">Consolidation shows the group as one entity.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17   </w:t>
      </w:r>
      <w:r>
        <w:rPr>
          <w:sz w:val="15"/>
          <w:szCs w:val="15"/>
        </w:rPr>
        <w:t xml:space="preserve">NCI is equity of the group.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18   </w:t>
      </w:r>
      <w:r>
        <w:rPr>
          <w:sz w:val="15"/>
          <w:szCs w:val="15"/>
        </w:rPr>
        <w:t xml:space="preserve">The VIE model comes before the voting model.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19   </w:t>
      </w:r>
      <w:r>
        <w:rPr>
          <w:sz w:val="15"/>
          <w:szCs w:val="15"/>
        </w:rPr>
        <w:t xml:space="preserve">Significant influence without control leads to the equity method.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20   </w:t>
      </w:r>
      <w:r>
        <w:rPr>
          <w:sz w:val="15"/>
          <w:szCs w:val="15"/>
        </w:rPr>
        <w:t xml:space="preserve">Changes in ownership without loss of control are equity transactions.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21   </w:t>
      </w:r>
      <w:r>
        <w:rPr>
          <w:sz w:val="15"/>
          <w:szCs w:val="15"/>
        </w:rPr>
        <w:t xml:space="preserve">Partial goodwill: price + $1,700,000 − $8,500,000.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28   </w:t>
      </w:r>
      <w:r>
        <w:rPr>
          <w:sz w:val="15"/>
          <w:szCs w:val="15"/>
        </w:rPr>
        <w:t xml:space="preserve">Equity treatment is only for changes without loss of control.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37   </w:t>
      </w:r>
      <w:r>
        <w:rPr>
          <w:sz w:val="15"/>
          <w:szCs w:val="15"/>
        </w:rPr>
        <w:t xml:space="preserve">section 16.3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38   </w:t>
      </w:r>
      <w:r>
        <w:rPr>
          <w:sz w:val="15"/>
          <w:szCs w:val="15"/>
        </w:rPr>
        <w:t xml:space="preserve">section 16.3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39   </w:t>
      </w:r>
      <w:r>
        <w:rPr>
          <w:sz w:val="15"/>
          <w:szCs w:val="15"/>
        </w:rPr>
        <w:t xml:space="preserve">section 16.3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40   </w:t>
      </w:r>
      <w:r>
        <w:rPr>
          <w:sz w:val="15"/>
          <w:szCs w:val="15"/>
        </w:rPr>
        <w:t xml:space="preserve">section 16.3</w:t>
      </w:r>
    </w:p>
    <w:p/>
    <w:p>
      <w:pPr>
        <w:sectPr>
          <w:headerReference w:type="default" r:id="rIdHdr1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p>
      <w:pPr>
        <w:spacing w:after="20" w:before="60"/>
      </w:pPr>
      <w:r>
        <w:rPr>
          <w:b/>
          <w:bCs/>
          <w:color w:val="353A7C"/>
          <w:sz w:val="40"/>
          <w:szCs w:val="40"/>
        </w:rPr>
        <w:t xml:space="preserve">Handout 16.2 · Answer Key</w:t>
      </w:r>
    </w:p>
    <w:p>
      <w:pPr>
        <w:spacing w:after="130"/>
      </w:pPr>
      <w:r>
        <w:rPr>
          <w:color w:val="6B7280"/>
          <w:sz w:val="20"/>
          <w:szCs w:val="20"/>
        </w:rPr>
        <w:t xml:space="preserve">Section 16.4 · Consolidated Financial Statements · 38 items · keep this sheet separate from the handout</w:t>
      </w:r>
    </w:p>
    <w:tbl>
      <w:tblPr>
        <w:tblW w:type="pct" w:w="100%"/>
        <w:tblBorders>
          <w:top w:val="single" w:color="DFE3EE" w:sz="4"/>
          <w:left w:val="single" w:color="DFE3EE" w:sz="4"/>
          <w:bottom w:val="single" w:color="DFE3EE" w:sz="4"/>
          <w:right w:val="single" w:color="DFE3EE" w:sz="4"/>
          <w:insideH w:val="single" w:color="DFE3EE" w:sz="4"/>
          <w:insideV w:val="single" w:color="DFE3EE" w:sz="4"/>
        </w:tblBorders>
      </w:tblPr>
      <w:tblGrid>
        <w:gridCol w:w="5"/>
        <w:gridCol w:w="28"/>
        <w:gridCol w:w="5"/>
        <w:gridCol w:w="28"/>
        <w:gridCol w:w="5"/>
        <w:gridCol w:w="29"/>
      </w:tblGrid>
      <w:tr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#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Answer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#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Answer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#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Answer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(B)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14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H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27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(C)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(B)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15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D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28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(C)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(B)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16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A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29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(A)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4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True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17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C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30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(B)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5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False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18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31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(C)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6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False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19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acquisition method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32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True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7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False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20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subsidiary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33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False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8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False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21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goodwill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34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False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9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True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22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35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35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True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10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False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23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25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36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False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11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B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24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205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37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False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12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25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eliminated in full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38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False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13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G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26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(D)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/>
            </w:r>
          </w:p>
        </w:tc>
      </w:tr>
    </w:tbl>
    <w:p/>
    <w:p>
      <w:pPr>
        <w:spacing w:before="110" w:after="50"/>
        <w:pBdr>
          <w:top w:val="single" w:sz="8" w:space="5" w:color="1F7A6A"/>
        </w:pBdr>
      </w:pPr>
      <w:r>
        <w:rPr>
          <w:b/>
          <w:bCs/>
          <w:color w:val="1F7A6A"/>
          <w:sz w:val="17"/>
          <w:szCs w:val="17"/>
        </w:rPr>
        <w:t xml:space="preserve">Why, where it is worth saying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1   </w:t>
      </w:r>
      <w:r>
        <w:rPr>
          <w:sz w:val="15"/>
          <w:szCs w:val="15"/>
        </w:rPr>
        <w:t xml:space="preserve">Orontes is the primary beneficiary.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2   </w:t>
      </w:r>
      <w:r>
        <w:rPr>
          <w:sz w:val="15"/>
          <w:szCs w:val="15"/>
        </w:rPr>
        <w:t xml:space="preserve">Only Orontes's 30% share of the $40,000 unrealized profit.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3   </w:t>
      </w:r>
      <w:r>
        <w:rPr>
          <w:sz w:val="15"/>
          <w:szCs w:val="15"/>
        </w:rPr>
        <w:t xml:space="preserve">30% of the $200,000 gross profit is still in Levant's inventory.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5   </w:t>
      </w:r>
      <w:r>
        <w:rPr>
          <w:sz w:val="15"/>
          <w:szCs w:val="15"/>
        </w:rPr>
        <w:t xml:space="preserve">Orontes owns no shares.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6   </w:t>
      </w:r>
      <w:r>
        <w:rPr>
          <w:sz w:val="15"/>
          <w:szCs w:val="15"/>
        </w:rPr>
        <w:t xml:space="preserve">Only controlled entities are consolidated.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7   </w:t>
      </w:r>
      <w:r>
        <w:rPr>
          <w:sz w:val="15"/>
          <w:szCs w:val="15"/>
        </w:rPr>
        <w:t xml:space="preserve">Joint ventures use the equity method.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8   </w:t>
      </w:r>
      <w:r>
        <w:rPr>
          <w:sz w:val="15"/>
          <w:szCs w:val="15"/>
        </w:rPr>
        <w:t xml:space="preserve">No gain or loss arises while control is kept.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10   </w:t>
      </w:r>
      <w:r>
        <w:rPr>
          <w:sz w:val="15"/>
          <w:szCs w:val="15"/>
        </w:rPr>
        <w:t xml:space="preserve">The total includes NCI's share.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19   </w:t>
      </w:r>
      <w:r>
        <w:rPr>
          <w:sz w:val="15"/>
          <w:szCs w:val="15"/>
        </w:rPr>
        <w:t xml:space="preserve">section 16.4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20   </w:t>
      </w:r>
      <w:r>
        <w:rPr>
          <w:sz w:val="15"/>
          <w:szCs w:val="15"/>
        </w:rPr>
        <w:t xml:space="preserve">section 16.4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21   </w:t>
      </w:r>
      <w:r>
        <w:rPr>
          <w:sz w:val="15"/>
          <w:szCs w:val="15"/>
        </w:rPr>
        <w:t xml:space="preserve">section 16.4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26   </w:t>
      </w:r>
      <w:r>
        <w:rPr>
          <w:sz w:val="15"/>
          <w:szCs w:val="15"/>
        </w:rPr>
        <w:t xml:space="preserve">Consolidation adds all the subsidiary's items; NCI is shown separately.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27   </w:t>
      </w:r>
      <w:r>
        <w:rPr>
          <w:sz w:val="15"/>
          <w:szCs w:val="15"/>
        </w:rPr>
        <w:t xml:space="preserve">Both amounts are attributed on the face of the statement.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28   </w:t>
      </w:r>
      <w:r>
        <w:rPr>
          <w:sz w:val="15"/>
          <w:szCs w:val="15"/>
        </w:rPr>
        <w:t xml:space="preserve">Price + NCI fair value − net assets.</w:t>
      </w:r>
    </w:p>
    <w:p/>
    <w:p>
      <w:pPr>
        <w:sectPr>
          <w:headerReference w:type="default" r:id="rIdHdr2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p>
      <w:pPr>
        <w:spacing w:after="20" w:before="60"/>
      </w:pPr>
      <w:r>
        <w:rPr>
          <w:b/>
          <w:bCs/>
          <w:color w:val="353A7C"/>
          <w:sz w:val="40"/>
          <w:szCs w:val="40"/>
        </w:rPr>
        <w:t xml:space="preserve">Handout 16.3 · Answer Key</w:t>
      </w:r>
    </w:p>
    <w:p>
      <w:pPr>
        <w:spacing w:after="130"/>
      </w:pPr>
      <w:r>
        <w:rPr>
          <w:color w:val="6B7280"/>
          <w:sz w:val="20"/>
          <w:szCs w:val="20"/>
        </w:rPr>
        <w:t xml:space="preserve">Sections 16.5, 16.6 · Consolidated Financial Statements · 36 items · keep this sheet separate from the handout</w:t>
      </w:r>
    </w:p>
    <w:tbl>
      <w:tblPr>
        <w:tblW w:type="pct" w:w="100%"/>
        <w:tblBorders>
          <w:top w:val="single" w:color="DFE3EE" w:sz="4"/>
          <w:left w:val="single" w:color="DFE3EE" w:sz="4"/>
          <w:bottom w:val="single" w:color="DFE3EE" w:sz="4"/>
          <w:right w:val="single" w:color="DFE3EE" w:sz="4"/>
          <w:insideH w:val="single" w:color="DFE3EE" w:sz="4"/>
          <w:insideV w:val="single" w:color="DFE3EE" w:sz="4"/>
        </w:tblBorders>
      </w:tblPr>
      <w:tblGrid>
        <w:gridCol w:w="5"/>
        <w:gridCol w:w="28"/>
        <w:gridCol w:w="5"/>
        <w:gridCol w:w="28"/>
        <w:gridCol w:w="5"/>
        <w:gridCol w:w="29"/>
      </w:tblGrid>
      <w:tr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#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Answer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#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Answer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#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Answer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13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(D)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25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C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G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14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(A)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26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C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15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(C)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27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goodwill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4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16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(D)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28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equity method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5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D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17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(D)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29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joint venture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6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H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18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(A)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30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subsidiary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7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A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19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B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31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(B)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8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B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20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32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(D)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9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intercompany transaction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21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G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33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(A)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10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downstream sale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22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H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34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(D)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11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upstream sale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23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D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35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(B)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12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parent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24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A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36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(B)</w:t>
            </w:r>
          </w:p>
        </w:tc>
      </w:tr>
    </w:tbl>
    <w:p/>
    <w:p>
      <w:pPr>
        <w:spacing w:before="110" w:after="50"/>
        <w:pBdr>
          <w:top w:val="single" w:sz="8" w:space="5" w:color="1F7A6A"/>
        </w:pBdr>
      </w:pPr>
      <w:r>
        <w:rPr>
          <w:b/>
          <w:bCs/>
          <w:color w:val="1F7A6A"/>
          <w:sz w:val="17"/>
          <w:szCs w:val="17"/>
        </w:rPr>
        <w:t xml:space="preserve">Why, where it is worth saying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9   </w:t>
      </w:r>
      <w:r>
        <w:rPr>
          <w:sz w:val="15"/>
          <w:szCs w:val="15"/>
        </w:rPr>
        <w:t xml:space="preserve">section 16.5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10   </w:t>
      </w:r>
      <w:r>
        <w:rPr>
          <w:sz w:val="15"/>
          <w:szCs w:val="15"/>
        </w:rPr>
        <w:t xml:space="preserve">section 16.5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11   </w:t>
      </w:r>
      <w:r>
        <w:rPr>
          <w:sz w:val="15"/>
          <w:szCs w:val="15"/>
        </w:rPr>
        <w:t xml:space="preserve">section 16.5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12   </w:t>
      </w:r>
      <w:r>
        <w:rPr>
          <w:sz w:val="15"/>
          <w:szCs w:val="15"/>
        </w:rPr>
        <w:t xml:space="preserve">section 16.5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13   </w:t>
      </w:r>
      <w:r>
        <w:rPr>
          <w:sz w:val="15"/>
          <w:szCs w:val="15"/>
        </w:rPr>
        <w:t xml:space="preserve">Substantive participating rights overcome majority control.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14   </w:t>
      </w:r>
      <w:r>
        <w:rPr>
          <w:sz w:val="15"/>
          <w:szCs w:val="15"/>
        </w:rPr>
        <w:t xml:space="preserve">Joint ventures use the equity method.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15   </w:t>
      </w:r>
      <w:r>
        <w:rPr>
          <w:sz w:val="15"/>
          <w:szCs w:val="15"/>
        </w:rPr>
        <w:t xml:space="preserve">Only limited industry practice allows it.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16   </w:t>
      </w:r>
      <w:r>
        <w:rPr>
          <w:sz w:val="15"/>
          <w:szCs w:val="15"/>
        </w:rPr>
        <w:t xml:space="preserve">The investor records its share of income; dividends reduce the investment.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17   </w:t>
      </w:r>
      <w:r>
        <w:rPr>
          <w:sz w:val="15"/>
          <w:szCs w:val="15"/>
        </w:rPr>
        <w:t xml:space="preserve">Sales to outsiders are real revenue for the group.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18   </w:t>
      </w:r>
      <w:r>
        <w:rPr>
          <w:sz w:val="15"/>
          <w:szCs w:val="15"/>
        </w:rPr>
        <w:t xml:space="preserve">Downstream profit belongs to the parent.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27   </w:t>
      </w:r>
      <w:r>
        <w:rPr>
          <w:sz w:val="15"/>
          <w:szCs w:val="15"/>
        </w:rPr>
        <w:t xml:space="preserve">section 16.6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28   </w:t>
      </w:r>
      <w:r>
        <w:rPr>
          <w:sz w:val="15"/>
          <w:szCs w:val="15"/>
        </w:rPr>
        <w:t xml:space="preserve">section 16.6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29   </w:t>
      </w:r>
      <w:r>
        <w:rPr>
          <w:sz w:val="15"/>
          <w:szCs w:val="15"/>
        </w:rPr>
        <w:t xml:space="preserve">section 16.6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30   </w:t>
      </w:r>
      <w:r>
        <w:rPr>
          <w:sz w:val="15"/>
          <w:szCs w:val="15"/>
        </w:rPr>
        <w:t xml:space="preserve">section 16.6</w:t>
      </w:r>
    </w:p>
    <w:p/>
    <w:p>
      <w:pPr>
        <w:sectPr>
          <w:headerReference w:type="default" r:id="rIdHdr3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sectPr>
      <w:headerReference w:type="default" r:id="rIdHdr3"/>
      <w:pgSz w:w="11906" w:h="16838" w:orient="portrait"/>
      <w:pgMar w:top="1180" w:right="1000" w:bottom="900" w:left="1000" w:header="708" w:footer="708" w:gutter="0"/>
      <w:docGrid w:linePitch="360"/>
      <w:pgNumTyp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Handout 16.1 · Answer Key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Answer Key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/>
          </w:r>
        </w:p>
      </w:tc>
    </w:tr>
  </w:tbl>
  <w:p>
    <w:pPr>
      <w:spacing w:after="0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Handout 16.2 · Answer Key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Answer Key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/>
          </w:r>
        </w:p>
      </w:tc>
    </w:tr>
  </w:tbl>
  <w:p>
    <w:pPr>
      <w:spacing w:after="0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Handout 16.3 · Answer Key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Answer Key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/>
          </w:r>
        </w:p>
      </w:tc>
    </w:tr>
  </w:tbl>
  <w:p>
    <w:pPr>
      <w:spacing w:after="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defaultTabStop w:val="720"/>
  <w:compat>
    <w:compatSetting w:name="compatibilityMode" w:uri="http://schemas.microsoft.com/office/word" w:val="15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 standalone="yes"?><Relationships xmlns="http://schemas.openxmlformats.org/package/2006/relationships"><Relationship Id="rIdstyles" Target="styles.xml" Type="http://schemas.openxmlformats.org/officeDocument/2006/relationships/styles"/><Relationship Id="rIdnumbering" Target="numbering.xml" Type="http://schemas.openxmlformats.org/officeDocument/2006/relationships/numbering"/><Relationship Id="rIdfontTable" Target="fontTable.xml" Type="http://schemas.openxmlformats.org/officeDocument/2006/relationships/fontTable"/><Relationship Id="rIdsettings" Target="settings.xml" Type="http://schemas.openxmlformats.org/officeDocument/2006/relationships/settings"/><Relationship Id="rIdHdr1" Target="header1.xml" Type="http://schemas.openxmlformats.org/officeDocument/2006/relationships/header"/><Relationship Id="rIdHdr2" Target="header2.xml" Type="http://schemas.openxmlformats.org/officeDocument/2006/relationships/header"/><Relationship Id="rIdHdr3" Target="header3.xml" Type="http://schemas.openxmlformats.org/officeDocument/2006/relationships/header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CMA Part 1 · Section A · Chapter 16 · Answer Keys</dc:title>
  <dc:subject>Consolidated Financial Statements</dc:subject>
  <cp:category>Student Book</cp:category>
</cp:coreProperties>
</file>