
<file path=[Content_Types].xml><?xml version="1.0" encoding="utf-8"?>
<Types xmlns="http://schemas.openxmlformats.org/package/2006/content-types">
  <Default ContentType="image/png" Extension="png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fontTable+xml" PartName="/word/fontTable.xml"/>
  <Override ContentType="application/vnd.openxmlformats-officedocument.wordprocessingml.settings+xml" PartName="/word/settings.xml"/>
  <Override ContentType="application/vnd.openxmlformats-package.core-properties+xml" PartName="/docProps/cor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core.xml" Type="http://schemas.openxmlformats.org/package/2006/relationships/metadata/core-properties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17.1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Section 17.5 · U.S. GAAP and IFRS: The Six Tested Differences · 55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900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500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614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revaluation surplus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revaluation model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component depreciation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Lowers U.S. 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No effect on 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Raises U.S. 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Raises U.S. net income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U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I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_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section 17.5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section 17.5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section 17.5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22   </w:t>
      </w:r>
      <w:r>
        <w:rPr>
          <w:sz w:val="15"/>
          <w:szCs w:val="15"/>
        </w:rPr>
        <w:t xml:space="preserve">The graded-vesting choice exists only under U.S. GAAP.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23   </w:t>
      </w:r>
      <w:r>
        <w:rPr>
          <w:sz w:val="15"/>
          <w:szCs w:val="15"/>
        </w:rPr>
        <w:t xml:space="preserve">U.S. GAAP expenses R&amp;D, except limited software costs.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24   </w:t>
      </w:r>
      <w:r>
        <w:rPr>
          <w:sz w:val="15"/>
          <w:szCs w:val="15"/>
        </w:rPr>
        <w:t xml:space="preserve">IAS 38 allows revaluation only with an active market; U.S. GAAP prohibits it.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25   </w:t>
      </w:r>
      <w:r>
        <w:rPr>
          <w:sz w:val="15"/>
          <w:szCs w:val="15"/>
        </w:rPr>
        <w:t xml:space="preserve">cannot use LIFO  IAS 2 prohibits LIFO.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26   </w:t>
      </w:r>
      <w:r>
        <w:rPr>
          <w:sz w:val="15"/>
          <w:szCs w:val="15"/>
        </w:rPr>
        <w:t xml:space="preserve">Only IFRS 16 has the low-value exemption.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27   </w:t>
      </w:r>
      <w:r>
        <w:rPr>
          <w:sz w:val="15"/>
          <w:szCs w:val="15"/>
        </w:rPr>
        <w:t xml:space="preserve">Component depreciation is required by IAS 16.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29   </w:t>
      </w:r>
      <w:r>
        <w:rPr>
          <w:sz w:val="15"/>
          <w:szCs w:val="15"/>
        </w:rPr>
        <w:t xml:space="preserve">LCNRV applies to FIFO and average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LIFO is prohibited for all inventory.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34   </w:t>
      </w:r>
      <w:r>
        <w:rPr>
          <w:sz w:val="15"/>
          <w:szCs w:val="15"/>
        </w:rPr>
        <w:t xml:space="preserve">Expense is recognized each year.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46   </w:t>
      </w:r>
      <w:r>
        <w:rPr>
          <w:sz w:val="15"/>
          <w:szCs w:val="15"/>
        </w:rPr>
        <w:t xml:space="preserve">IAS 19 expenses it at once; U.S. GAAP amortizes it from OCI.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47   </w:t>
      </w:r>
      <w:r>
        <w:rPr>
          <w:sz w:val="15"/>
          <w:szCs w:val="15"/>
        </w:rPr>
        <w:t xml:space="preserve">Depreciation $84,247 + interest $25,274.</w:t>
      </w:r>
    </w:p>
    <w:p/>
    <w:p>
      <w:pPr>
        <w:sectPr>
          <w:headerReference w:type="default" r:id="rIdHdr1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p>
      <w:pPr>
        <w:spacing w:after="20" w:before="60"/>
      </w:pPr>
      <w:r>
        <w:rPr>
          <w:b/>
          <w:bCs/>
          <w:color w:val="353A7C"/>
          <w:sz w:val="40"/>
          <w:szCs w:val="40"/>
        </w:rPr>
        <w:t xml:space="preserve">Handout 17.2 · Answer Key</w:t>
      </w:r>
    </w:p>
    <w:p>
      <w:pPr>
        <w:spacing w:after="130"/>
      </w:pPr>
      <w:r>
        <w:rPr>
          <w:color w:val="6B7280"/>
          <w:sz w:val="20"/>
          <w:szCs w:val="20"/>
        </w:rPr>
        <w:t xml:space="preserve">The practice set · U.S. GAAP and IFRS: The Six Tested Differences · 47 items · keep this sheet separate from the handout</w:t>
      </w:r>
    </w:p>
    <w:tbl>
      <w:tblPr>
        <w:tblW w:type="pct" w:w="100%"/>
        <w:tblBorders>
          <w:top w:val="single" w:color="DFE3EE" w:sz="4"/>
          <w:left w:val="single" w:color="DFE3EE" w:sz="4"/>
          <w:bottom w:val="single" w:color="DFE3EE" w:sz="4"/>
          <w:right w:val="single" w:color="DFE3EE" w:sz="4"/>
          <w:insideH w:val="single" w:color="DFE3EE" w:sz="4"/>
          <w:insideV w:val="single" w:color="DFE3EE" w:sz="4"/>
        </w:tblBorders>
      </w:tblPr>
      <w:tblGrid>
        <w:gridCol w:w="5"/>
        <w:gridCol w:w="28"/>
        <w:gridCol w:w="5"/>
        <w:gridCol w:w="28"/>
        <w:gridCol w:w="5"/>
        <w:gridCol w:w="29"/>
      </w:tblGrid>
      <w:tr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#</w:t>
            </w:r>
          </w:p>
        </w:tc>
        <w:tc>
          <w:tcPr>
            <w:shd w:fill="2E8B62" w:val="clear"/>
            <w:tcMar>
              <w:top w:type="dxa" w:w="10"/>
              <w:left w:type="dxa" w:w="70"/>
              <w:bottom w:type="dxa" w:w="10"/>
              <w:right w:type="dxa" w:w="70"/>
            </w:tcMar>
          </w:tcPr>
          <w:p>
            <w:r>
              <w:rPr>
                <w:b/>
                <w:bCs/>
                <w:color w:val="FFFFFF"/>
                <w:sz w:val="14"/>
                <w:szCs w:val="14"/>
              </w:rPr>
              <w:t xml:space="preserve">Answer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G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D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C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H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28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A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13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29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B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(D)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14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(C)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30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15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True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31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47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(A)</w:t>
            </w:r>
          </w:p>
        </w:tc>
      </w:tr>
      <w:tr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16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False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>32</w:t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>(B)</w:t>
            </w:r>
          </w:p>
        </w:tc>
        <w:tc>
          <w:tcPr>
            <w:shd w:fill="F5F7FC" w:val="clear"/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b/>
                <w:bCs/>
                <w:sz w:val="14"/>
                <w:szCs w:val="14"/>
              </w:rPr>
              <w:t xml:space="preserve"/>
            </w:r>
          </w:p>
        </w:tc>
        <w:tc>
          <w:tcPr>
            <w:tcMar>
              <w:top w:type="dxa" w:w="6"/>
              <w:left w:type="dxa" w:w="66"/>
              <w:bottom w:type="dxa" w:w="6"/>
              <w:right w:type="dxa" w:w="66"/>
            </w:tcMar>
          </w:tcPr>
          <w:p>
            <w:r>
              <w:rPr>
                <w:sz w:val="14"/>
                <w:szCs w:val="14"/>
              </w:rPr>
              <w:t xml:space="preserve"/>
            </w:r>
          </w:p>
        </w:tc>
      </w:tr>
    </w:tbl>
    <w:p/>
    <w:p>
      <w:pPr>
        <w:spacing w:before="110" w:after="50"/>
        <w:pBdr>
          <w:top w:val="single" w:sz="8" w:space="5" w:color="1F7A6A"/>
        </w:pBdr>
      </w:pPr>
      <w:r>
        <w:rPr>
          <w:b/>
          <w:bCs/>
          <w:color w:val="1F7A6A"/>
          <w:sz w:val="17"/>
          <w:szCs w:val="17"/>
        </w:rPr>
        <w:t xml:space="preserve">Why, where it is worth saying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9   </w:t>
      </w:r>
      <w:r>
        <w:rPr>
          <w:sz w:val="15"/>
          <w:szCs w:val="15"/>
        </w:rPr>
        <w:t xml:space="preserve">IAS 19 remeasurements stay in equity.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10   </w:t>
      </w:r>
      <w:r>
        <w:rPr>
          <w:sz w:val="15"/>
          <w:szCs w:val="15"/>
        </w:rPr>
        <w:t xml:space="preserve">U.S. GAAP uses expected return; IAS 19 uses net interest.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11   </w:t>
      </w:r>
      <w:r>
        <w:rPr>
          <w:sz w:val="15"/>
          <w:szCs w:val="15"/>
        </w:rPr>
        <w:t xml:space="preserve">Accruing over the vesting period is the IFRS approach.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12   </w:t>
      </w:r>
      <w:r>
        <w:rPr>
          <w:sz w:val="15"/>
          <w:szCs w:val="15"/>
        </w:rPr>
        <w:t xml:space="preserve">Acquired intangibles are recognized under both.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13   </w:t>
      </w:r>
      <w:r>
        <w:rPr>
          <w:sz w:val="15"/>
          <w:szCs w:val="15"/>
        </w:rPr>
        <w:t xml:space="preserve">Public companies test goodwill for impairment only.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14   </w:t>
      </w:r>
      <w:r>
        <w:rPr>
          <w:sz w:val="15"/>
          <w:szCs w:val="15"/>
        </w:rPr>
        <w:t xml:space="preserve">The reversal is limited to the original write-down: back to cost.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16   </w:t>
      </w:r>
      <w:r>
        <w:rPr>
          <w:sz w:val="15"/>
          <w:szCs w:val="15"/>
        </w:rPr>
        <w:t xml:space="preserve">U.S. GAAP expenses development.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17   </w:t>
      </w:r>
      <w:r>
        <w:rPr>
          <w:sz w:val="15"/>
          <w:szCs w:val="15"/>
        </w:rPr>
        <w:t xml:space="preserve">The rule is reversed.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20   </w:t>
      </w:r>
      <w:r>
        <w:rPr>
          <w:sz w:val="15"/>
          <w:szCs w:val="15"/>
        </w:rPr>
        <w:t xml:space="preserve">This is the U.S. GAAP treatment.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30   </w:t>
      </w:r>
      <w:r>
        <w:rPr>
          <w:sz w:val="15"/>
          <w:szCs w:val="15"/>
        </w:rPr>
        <w:t xml:space="preserve">LCM still applies to LIFO and the retail method.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31   </w:t>
      </w:r>
      <w:r>
        <w:rPr>
          <w:sz w:val="15"/>
          <w:szCs w:val="15"/>
        </w:rPr>
        <w:t xml:space="preserve">IFRS 16 remeasures for index changes; ASC 842 does not.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32   </w:t>
      </w:r>
      <w:r>
        <w:rPr>
          <w:sz w:val="15"/>
          <w:szCs w:val="15"/>
        </w:rPr>
        <w:t xml:space="preserve">the same total expense, spread evenly instead of front-loaded  Only the timing differs.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33   </w:t>
      </w:r>
      <w:r>
        <w:rPr>
          <w:sz w:val="15"/>
          <w:szCs w:val="15"/>
        </w:rPr>
        <w:t xml:space="preserve">IAS 23 deducts investment income on specific borrowings.</w:t>
      </w:r>
    </w:p>
    <w:p>
      <w:pPr>
        <w:ind w:left="300" w:hanging="300"/>
        <w:spacing w:after="25"/>
      </w:pPr>
      <w:r>
        <w:rPr>
          <w:b/>
          <w:bCs/>
          <w:color w:val="1F7A6A"/>
          <w:sz w:val="15"/>
          <w:szCs w:val="15"/>
        </w:rPr>
        <w:t xml:space="preserve">34   </w:t>
      </w:r>
      <w:r>
        <w:rPr>
          <w:sz w:val="15"/>
          <w:szCs w:val="15"/>
        </w:rPr>
        <w:t xml:space="preserve">IAS 40 offers a fair value or cost model; U.S. GAAP has no such category.</w:t>
      </w:r>
    </w:p>
    <w:p/>
    <w:p>
      <w:pPr>
        <w:sectPr>
          <w:headerReference w:type="default" r:id="rIdHdr2"/>
          <w:pgSz w:w="11906" w:h="16838" w:orient="portrait"/>
          <w:pgMar w:top="1180" w:right="1000" w:bottom="900" w:left="1000" w:header="708" w:footer="708" w:gutter="0"/>
          <w:docGrid w:linePitch="360"/>
          <w:pgNumType w:start="1"/>
        </w:sectPr>
      </w:pPr>
    </w:p>
    <w:sectPr>
      <w:headerReference w:type="default" r:id="rIdHdr2"/>
      <w:pgSz w:w="11906" w:h="16838" w:orient="portrait"/>
      <w:pgMar w:top="1180" w:right="1000" w:bottom="900" w:left="1000" w:header="708" w:footer="708" w:gutter="0"/>
      <w:docGrid w:linePitch="360"/>
      <w:pgNumType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17.1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pct" w:w="100%"/>
      <w:tblBorders>
        <w:bottom w:val="single" w:color="DFE3EE" w:sz="8"/>
      </w:tblBorders>
    </w:tblPr>
    <w:tblGrid>
      <w:gridCol w:w="7400"/>
      <w:gridCol w:w="2000"/>
    </w:tblGrid>
    <w:tr>
      <w:tc>
        <w:tcPr>
          <w:tcW w:type="pct" w:w="3600"/>
          <w:tcMar>
            <w:top w:type="dxa" w:w="-30"/>
            <w:left w:type="dxa" w:w="30"/>
            <w:bottom w:type="dxa" w:w="-30"/>
            <w:right w:type="dxa" w:w="30"/>
          </w:tcMar>
        </w:tcPr>
        <w:p>
          <w:r>
            <w:rPr>
              <w:b/>
              <w:bCs/>
              <w:color w:val="23265A"/>
              <w:sz w:val="16"/>
              <w:szCs w:val="16"/>
            </w:rPr>
            <w:t xml:space="preserve">Handout 17.2 · Answer Key</w:t>
          </w:r>
        </w:p>
      </w:tc>
      <w:tc>
        <w:tcPr>
          <w:tcW w:type="pct" w:w="1400"/>
          <w:tcMar>
            <w:top w:type="dxa" w:w="-30"/>
            <w:left w:type="dxa" w:w="30"/>
            <w:bottom w:type="dxa" w:w="-30"/>
            <w:right w:type="dxa" w:w="30"/>
          </w:tcMar>
        </w:tcPr>
        <w:p>
          <w:pPr>
            <w:jc w:val="right"/>
          </w:pPr>
          <w:r>
            <w:rPr>
              <w:color w:val="6B7280"/>
              <w:sz w:val="16"/>
              <w:szCs w:val="16"/>
            </w:rPr>
            <w:t xml:space="preserve">Answer Key — Page </w:t>
          </w:r>
          <w:fldSimple w:instr=" PAGE ">
            <w:r>
              <w:rPr>
                <w:b/>
                <w:bCs/>
                <w:color w:val="23265A"/>
                <w:sz w:val="16"/>
                <w:szCs w:val="16"/>
              </w:rPr>
              <w:t xml:space="preserve">1</w:t>
            </w:r>
          </w:fldSimple>
          <w:r>
            <w:rPr>
              <w:color w:val="6B7280"/>
              <w:sz w:val="16"/>
              <w:szCs w:val="16"/>
            </w:rPr>
            <w:t xml:space="preserve"/>
          </w:r>
        </w:p>
      </w:tc>
    </w:tr>
  </w:tbl>
  <w:p>
    <w:pPr>
      <w:spacing w:after="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openxmlformats.org/wordprocessingml/2006/main" xmlns:w15="http://schemas.openxmlformats.org/wordprocessingml/2006/main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defaultTabStop w:val="720"/>
  <w:compat>
    <w:compatSetting w:name="compatibilityMode" w:uri="http://schemas.microsoft.com/office/word" w:val="15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 standalone="yes"?><Relationships xmlns="http://schemas.openxmlformats.org/package/2006/relationships"><Relationship Id="rIdstyles" Target="styles.xml" Type="http://schemas.openxmlformats.org/officeDocument/2006/relationships/styles"/><Relationship Id="rIdnumbering" Target="numbering.xml" Type="http://schemas.openxmlformats.org/officeDocument/2006/relationships/numbering"/><Relationship Id="rIdfontTable" Target="fontTable.xml" Type="http://schemas.openxmlformats.org/officeDocument/2006/relationships/fontTable"/><Relationship Id="rIdsettings" Target="settings.xml" Type="http://schemas.openxmlformats.org/officeDocument/2006/relationships/settings"/><Relationship Id="rIdHdr1" Target="header1.xml" Type="http://schemas.openxmlformats.org/officeDocument/2006/relationships/header"/><Relationship Id="rIdHdr2" Target="header2.xml" Type="http://schemas.openxmlformats.org/officeDocument/2006/relationships/header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CMA Part 1 · Section A · Chapter 17 · Answer Keys</dc:title>
  <dc:subject>U.S. GAAP and IFRS: The Six Tested Differences</dc:subject>
  <cp:category>Student Book</cp:category>
</cp:coreProperties>
</file>