
<file path=[Content_Types].xml><?xml version="1.0" encoding="utf-8"?>
<Types xmlns="http://schemas.openxmlformats.org/package/2006/content-types">
  <Default ContentType="image/png" Extension="png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officedocument.wordprocessingml.numbering+xml" PartName="/word/numbering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package.core-properties+xml" PartName="/docProps/core.xml"/>
  <Override ContentType="application/vnd.openxmlformats-officedocument.wordprocessingml.header+xml" PartName="/word/header1.xml"/>
  <Override ContentType="application/vnd.openxmlformats-officedocument.wordprocessingml.header+xml" PartName="/word/header2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openxmlformats.org/wordprocessingml/2006/main" xmlns:w15="http://schemas.openxmlformats.org/wordprocessingml/2006/main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pPr>
        <w:spacing w:after="20" w:before="60"/>
      </w:pPr>
      <w:r>
        <w:rPr>
          <w:b/>
          <w:bCs/>
          <w:color w:val="353A7C"/>
          <w:sz w:val="40"/>
          <w:szCs w:val="40"/>
        </w:rPr>
        <w:t xml:space="preserve">Handout 17.1 · Section 17.5</w:t>
      </w:r>
    </w:p>
    <w:p>
      <w:pPr>
        <w:spacing w:after="130"/>
      </w:pPr>
      <w:r>
        <w:rPr>
          <w:color w:val="6B7280"/>
          <w:sz w:val="20"/>
          <w:szCs w:val="20"/>
        </w:rPr>
        <w:t xml:space="preserve">CMA Part 1 · Section A · Chapter 17 · from section U.S. GAAP and IFRS: The Six Tested Differences of the book · 4 pages, answer key on a separate sheet</w:t>
      </w:r>
    </w:p>
    <w:p>
      <w:pPr>
        <w:spacing w:before="120" w:after="55"/>
        <w:pBdr>
          <w:top w:val="single" w:sz="10" w:space="6" w:color="353A7C"/>
        </w:pBdr>
      </w:pPr>
      <w:r>
        <w:rPr>
          <w:b/>
          <w:bCs/>
          <w:color w:val="353A7C"/>
          <w:sz w:val="21"/>
          <w:szCs w:val="21"/>
        </w:rPr>
        <w:t xml:space="preserve">Exercise 1 · matching   </w:t>
      </w:r>
      <w:r>
        <w:rPr>
          <w:b/>
          <w:bCs/>
          <w:sz w:val="19"/>
          <w:szCs w:val="19"/>
        </w:rPr>
        <w:t xml:space="preserve">Write the letter of the Arabic term beside each English one.</w:t>
      </w:r>
    </w:p>
    <w:tbl>
      <w:tblPr>
        <w:tblW w:type="pct" w:w="100%"/>
        <w:tblBorders>
          <w:top w:val="single" w:color="DFE3EE" w:sz="4"/>
          <w:left w:val="single" w:color="DFE3EE" w:sz="4"/>
          <w:bottom w:val="single" w:color="DFE3EE" w:sz="4"/>
          <w:right w:val="single" w:color="DFE3EE" w:sz="4"/>
          <w:insideH w:val="single" w:color="DFE3EE" w:sz="4"/>
          <w:insideV w:val="single" w:color="DFE3EE" w:sz="4"/>
        </w:tblBorders>
      </w:tblPr>
      <w:tblGrid>
        <w:gridCol w:w="4"/>
        <w:gridCol w:w="40"/>
        <w:gridCol w:w="7"/>
        <w:gridCol w:w="4"/>
        <w:gridCol w:w="45"/>
      </w:tblGrid>
      <w:tr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/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English (exam term)</w:t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/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/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العربية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1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revaluation model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A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تكلفة الخدمة السابقة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2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revaluation surplus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B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إعادة القياس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3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development costs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C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تكاليف التطوير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4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value in use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D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المبلغ القابل للاسترداد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5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recoverable amount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E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نموذج إعادة التقييم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6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cash-generating unit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F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القيمة من الاستخدام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7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prior service cost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G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فائض إعادة التقييم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8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remeasurements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H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وحدة توليد النقد</w:t>
            </w:r>
          </w:p>
        </w:tc>
      </w:tr>
    </w:tbl>
    <w:p/>
    <w:p>
      <w:pPr>
        <w:spacing w:before="120" w:after="55"/>
        <w:pBdr>
          <w:top w:val="single" w:sz="10" w:space="6" w:color="353A7C"/>
        </w:pBdr>
      </w:pPr>
      <w:r>
        <w:rPr>
          <w:b/>
          <w:bCs/>
          <w:color w:val="353A7C"/>
          <w:sz w:val="21"/>
          <w:szCs w:val="21"/>
        </w:rPr>
        <w:t xml:space="preserve">Exercise 2 · fill in the spaces   </w:t>
      </w:r>
      <w:r>
        <w:rPr>
          <w:b/>
          <w:bCs/>
          <w:sz w:val="19"/>
          <w:szCs w:val="19"/>
        </w:rPr>
        <w:t xml:space="preserve">Write the missing term in each numbered space. Every sentence is from section 17.5 of the book.</w:t>
      </w:r>
    </w:p>
    <w:tbl>
      <w:tblPr>
        <w:tblW w:type="pct" w:w="100%"/>
        <w:tblBorders>
          <w:top w:val="single" w:color="8186EF" w:sz="4"/>
          <w:left w:val="single" w:color="8186EF" w:sz="4"/>
          <w:bottom w:val="single" w:color="8186EF" w:sz="4"/>
          <w:right w:val="single" w:color="8186EF" w:sz="4"/>
          <w:insideH w:val="single" w:color="8186EF" w:sz="4"/>
          <w:insideV w:val="single" w:color="8186EF" w:sz="4"/>
        </w:tblBorders>
      </w:tblPr>
      <w:tblGrid>
        <w:gridCol w:w="100"/>
      </w:tblGrid>
      <w:tr>
        <w:tc>
          <w:tcPr>
            <w:shd w:fill="FBFAF6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23265A"/>
                <w:sz w:val="15"/>
                <w:szCs w:val="15"/>
              </w:rPr>
              <w:t xml:space="preserve">WORD BANK</w:t>
            </w:r>
          </w:p>
          <w:p>
            <w:pPr>
              <w:spacing w:after="50" w:line="280" w:lineRule="auto"/>
            </w:pPr>
            <w:r>
              <w:rPr>
                <w:b/>
                <w:bCs/>
                <w:sz w:val="20"/>
                <w:szCs w:val="20"/>
              </w:rPr>
              <w:t xml:space="preserve">cash-generating unit</w:t>
            </w:r>
            <w:r>
              <w:rPr>
                <w:b/>
                <w:bCs/>
                <w:color w:val="8186EF"/>
                <w:sz w:val="20"/>
                <w:szCs w:val="20"/>
              </w:rPr>
              <w:t xml:space="preserve">   ·   </w:t>
            </w:r>
            <w:r>
              <w:rPr>
                <w:b/>
                <w:bCs/>
                <w:sz w:val="20"/>
                <w:szCs w:val="20"/>
              </w:rPr>
              <w:t xml:space="preserve">component depreciation</w:t>
            </w:r>
            <w:r>
              <w:rPr>
                <w:b/>
                <w:bCs/>
                <w:color w:val="8186EF"/>
                <w:sz w:val="20"/>
                <w:szCs w:val="20"/>
              </w:rPr>
              <w:t xml:space="preserve">   ·   </w:t>
            </w:r>
            <w:r>
              <w:rPr>
                <w:b/>
                <w:bCs/>
                <w:sz w:val="20"/>
                <w:szCs w:val="20"/>
              </w:rPr>
              <w:t xml:space="preserve">development costs</w:t>
            </w:r>
            <w:r>
              <w:rPr>
                <w:b/>
                <w:bCs/>
                <w:color w:val="8186EF"/>
                <w:sz w:val="20"/>
                <w:szCs w:val="20"/>
              </w:rPr>
              <w:t xml:space="preserve">   ·   </w:t>
            </w:r>
            <w:r>
              <w:rPr>
                <w:b/>
                <w:bCs/>
                <w:sz w:val="20"/>
                <w:szCs w:val="20"/>
              </w:rPr>
              <w:t xml:space="preserve">recoverability test</w:t>
            </w:r>
            <w:r>
              <w:rPr>
                <w:b/>
                <w:bCs/>
                <w:color w:val="8186EF"/>
                <w:sz w:val="20"/>
                <w:szCs w:val="20"/>
              </w:rPr>
              <w:t xml:space="preserve">   ·   </w:t>
            </w:r>
            <w:r>
              <w:rPr>
                <w:b/>
                <w:bCs/>
                <w:sz w:val="20"/>
                <w:szCs w:val="20"/>
              </w:rPr>
              <w:t xml:space="preserve">recoverable amount</w:t>
            </w:r>
            <w:r>
              <w:rPr>
                <w:b/>
                <w:bCs/>
                <w:color w:val="8186EF"/>
                <w:sz w:val="20"/>
                <w:szCs w:val="20"/>
              </w:rPr>
              <w:t xml:space="preserve">   ·   </w:t>
            </w:r>
            <w:r>
              <w:rPr>
                <w:b/>
                <w:bCs/>
                <w:sz w:val="20"/>
                <w:szCs w:val="20"/>
              </w:rPr>
              <w:t xml:space="preserve">revaluation model</w:t>
            </w:r>
            <w:r>
              <w:rPr>
                <w:b/>
                <w:bCs/>
                <w:color w:val="8186EF"/>
                <w:sz w:val="20"/>
                <w:szCs w:val="20"/>
              </w:rPr>
              <w:t xml:space="preserve">   ·   </w:t>
            </w:r>
            <w:r>
              <w:rPr>
                <w:b/>
                <w:bCs/>
                <w:sz w:val="20"/>
                <w:szCs w:val="20"/>
              </w:rPr>
              <w:t xml:space="preserve">revaluation surplus</w:t>
            </w:r>
          </w:p>
          <w:p>
            <w:r>
              <w:rPr>
                <w:color w:val="6B7280"/>
                <w:sz w:val="17"/>
                <w:szCs w:val="17"/>
              </w:rPr>
              <w:t xml:space="preserve">Not every word is used.</w:t>
            </w:r>
          </w:p>
        </w:tc>
      </w:tr>
    </w:tbl>
    <w:p/>
    <w:p>
      <w:pPr>
        <w:spacing w:before="20" w:after="70" w:line="272" w:lineRule="auto"/>
      </w:pPr>
      <w:r>
        <w:rPr>
          <w:sz w:val="20"/>
          <w:szCs w:val="20"/>
        </w:rPr>
        <w:t xml:space="preserve">IAS 16 also allows the revaluation model for a whole class of assets: the assets are carried at fair value, and increases go to a </w:t>
      </w:r>
      <w:r>
        <w:rPr>
          <w:vertAlign w:val="superscript"/>
          <w:color w:val="353A7C"/>
          <w:b/>
          <w:sz w:val="15"/>
        </w:rPr>
        <w:t>9</w:t>
      </w:r>
      <w:r>
        <w:rPr>
          <w:u w:val="single"/>
          <w:sz w:val="20"/>
          <w:szCs w:val="20"/>
        </w:rPr>
        <w:t xml:space="preserve">                               </w:t>
      </w:r>
      <w:r>
        <w:rPr>
          <w:sz w:val="20"/>
          <w:szCs w:val="20"/>
        </w:rPr>
        <w:t xml:space="preserve"> in OCI.</w:t>
      </w:r>
    </w:p>
    <w:p>
      <w:pPr>
        <w:spacing w:before="20" w:after="70" w:line="272" w:lineRule="auto"/>
      </w:pPr>
      <w:r>
        <w:rPr>
          <w:sz w:val="20"/>
          <w:szCs w:val="20"/>
        </w:rPr>
        <w:t xml:space="preserve">Under IFRS, if Orontes chose the </w:t>
      </w:r>
      <w:r>
        <w:rPr>
          <w:vertAlign w:val="superscript"/>
          <w:color w:val="353A7C"/>
          <w:b/>
          <w:sz w:val="15"/>
        </w:rPr>
        <w:t>10</w:t>
      </w:r>
      <w:r>
        <w:rPr>
          <w:u w:val="single"/>
          <w:sz w:val="20"/>
          <w:szCs w:val="20"/>
        </w:rPr>
        <w:t xml:space="preserve">                            </w:t>
      </w:r>
      <w:r>
        <w:rPr>
          <w:sz w:val="20"/>
          <w:szCs w:val="20"/>
        </w:rPr>
        <w:t xml:space="preserve">, it would show the land at fair value and a surplus of $600,000 in OCI.</w:t>
      </w:r>
    </w:p>
    <w:p>
      <w:pPr>
        <w:spacing w:before="20" w:after="70" w:line="272" w:lineRule="auto"/>
      </w:pPr>
      <w:r>
        <w:rPr>
          <w:sz w:val="20"/>
          <w:szCs w:val="20"/>
        </w:rPr>
        <w:t xml:space="preserve">IFRS requires </w:t>
      </w:r>
      <w:r>
        <w:rPr>
          <w:vertAlign w:val="superscript"/>
          <w:color w:val="353A7C"/>
          <w:b/>
          <w:sz w:val="15"/>
        </w:rPr>
        <w:t>11</w:t>
      </w:r>
      <w:r>
        <w:rPr>
          <w:u w:val="single"/>
          <w:sz w:val="20"/>
          <w:szCs w:val="20"/>
        </w:rPr>
        <w:t xml:space="preserve">                                    </w:t>
      </w:r>
      <w:r>
        <w:rPr>
          <w:sz w:val="20"/>
          <w:szCs w:val="20"/>
        </w:rPr>
        <w:t xml:space="preserve"> for significant parts with different lives; U.S.</w:t>
      </w:r>
    </w:p>
    <w:p/>
    <w:p>
      <w:pPr>
        <w:spacing w:before="120" w:after="55"/>
        <w:pBdr>
          <w:top w:val="single" w:sz="10" w:space="6" w:color="353A7C"/>
        </w:pBdr>
      </w:pPr>
      <w:r>
        <w:rPr>
          <w:b/>
          <w:bCs/>
          <w:color w:val="353A7C"/>
          <w:sz w:val="21"/>
          <w:szCs w:val="21"/>
        </w:rPr>
        <w:t xml:space="preserve">Exercise 3 · fill in the table   </w:t>
      </w:r>
      <w:r>
        <w:rPr>
          <w:b/>
          <w:bCs/>
          <w:sz w:val="19"/>
          <w:szCs w:val="19"/>
        </w:rPr>
        <w:t xml:space="preserve">Complete the table. The first row is done; some cells are a word and some a figure.</w:t>
      </w:r>
    </w:p>
    <w:tbl>
      <w:tblPr>
        <w:tblW w:type="pct" w:w="100%"/>
        <w:tblBorders>
          <w:top w:val="single" w:color="DFE3EE" w:sz="4"/>
          <w:left w:val="single" w:color="DFE3EE" w:sz="4"/>
          <w:bottom w:val="single" w:color="DFE3EE" w:sz="4"/>
          <w:right w:val="single" w:color="DFE3EE" w:sz="4"/>
          <w:insideH w:val="single" w:color="DFE3EE" w:sz="4"/>
          <w:insideV w:val="single" w:color="DFE3EE" w:sz="4"/>
        </w:tblBorders>
      </w:tblPr>
      <w:tblGrid>
        <w:gridCol w:w="46"/>
        <w:gridCol w:w="54"/>
      </w:tblGrid>
      <w:tr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Item</w:t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Category</w:t>
            </w:r>
          </w:p>
        </w:tc>
      </w:tr>
      <w:tr>
        <w:tc>
          <w:tcPr>
            <w:shd w:fill="EFF0FB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sz w:val="17"/>
                <w:szCs w:val="17"/>
              </w:rPr>
              <w:t xml:space="preserve">L1 Development costs</w:t>
            </w:r>
          </w:p>
        </w:tc>
        <w:tc>
          <w:tcPr>
            <w:shd w:fill="EFF0FB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23265A"/>
                <w:sz w:val="17"/>
                <w:szCs w:val="17"/>
              </w:rPr>
              <w:t xml:space="preserve">Lowers U.S. net income</w:t>
            </w:r>
          </w:p>
        </w:tc>
      </w:tr>
      <w:tr>
        <w:tc>
          <w:tcPr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sz w:val="17"/>
                <w:szCs w:val="17"/>
              </w:rPr>
              <w:t xml:space="preserve">L2 Write-down reversal</w:t>
            </w:r>
          </w:p>
        </w:tc>
        <w:tc>
          <w:tcPr>
            <w:tcBorders>
              <w:bottom w:val="single" w:sz="6" w:color="8186EF"/>
            </w:tcBorders>
            <w:tcMar>
              <w:top w:type="dxa" w:w="80"/>
              <w:left w:type="dxa" w:w="80"/>
              <w:bottom w:type="dxa" w:w="80"/>
            </w:tcMar>
          </w:tcPr>
          <w:p>
            <w:r>
              <w:rPr>
                <w:b/>
                <w:bCs/>
                <w:color w:val="8186EF"/>
                <w:sz w:val="14"/>
                <w:szCs w:val="14"/>
              </w:rPr>
              <w:t xml:space="preserve">12</w:t>
            </w:r>
          </w:p>
        </w:tc>
      </w:tr>
      <w:tr>
        <w:tc>
          <w:tcPr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sz w:val="17"/>
                <w:szCs w:val="17"/>
              </w:rPr>
              <w:t xml:space="preserve">L3 Land revaluation</w:t>
            </w:r>
          </w:p>
        </w:tc>
        <w:tc>
          <w:tcPr>
            <w:tcBorders>
              <w:bottom w:val="single" w:sz="6" w:color="8186EF"/>
            </w:tcBorders>
            <w:tcMar>
              <w:top w:type="dxa" w:w="80"/>
              <w:left w:type="dxa" w:w="80"/>
              <w:bottom w:type="dxa" w:w="80"/>
            </w:tcMar>
          </w:tcPr>
          <w:p>
            <w:r>
              <w:rPr>
                <w:b/>
                <w:bCs/>
                <w:color w:val="8186EF"/>
                <w:sz w:val="14"/>
                <w:szCs w:val="14"/>
              </w:rPr>
              <w:t xml:space="preserve">13</w:t>
            </w:r>
          </w:p>
        </w:tc>
      </w:tr>
      <w:tr>
        <w:tc>
          <w:tcPr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sz w:val="17"/>
                <w:szCs w:val="17"/>
              </w:rPr>
              <w:t xml:space="preserve">L4 Fleet impairment</w:t>
            </w:r>
          </w:p>
        </w:tc>
        <w:tc>
          <w:tcPr>
            <w:tcBorders>
              <w:bottom w:val="single" w:sz="6" w:color="8186EF"/>
            </w:tcBorders>
            <w:tcMar>
              <w:top w:type="dxa" w:w="80"/>
              <w:left w:type="dxa" w:w="80"/>
              <w:bottom w:type="dxa" w:w="80"/>
            </w:tcMar>
          </w:tcPr>
          <w:p>
            <w:r>
              <w:rPr>
                <w:b/>
                <w:bCs/>
                <w:color w:val="8186EF"/>
                <w:sz w:val="14"/>
                <w:szCs w:val="14"/>
              </w:rPr>
              <w:t xml:space="preserve">14</w:t>
            </w:r>
          </w:p>
        </w:tc>
      </w:tr>
      <w:tr>
        <w:tc>
          <w:tcPr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sz w:val="17"/>
                <w:szCs w:val="17"/>
              </w:rPr>
              <w:t xml:space="preserve">L5 Truck lease</w:t>
            </w:r>
          </w:p>
        </w:tc>
        <w:tc>
          <w:tcPr>
            <w:tcBorders>
              <w:bottom w:val="single" w:sz="6" w:color="8186EF"/>
            </w:tcBorders>
            <w:tcMar>
              <w:top w:type="dxa" w:w="80"/>
              <w:left w:type="dxa" w:w="80"/>
              <w:bottom w:type="dxa" w:w="80"/>
            </w:tcMar>
          </w:tcPr>
          <w:p>
            <w:r>
              <w:rPr>
                <w:b/>
                <w:bCs/>
                <w:color w:val="8186EF"/>
                <w:sz w:val="14"/>
                <w:szCs w:val="14"/>
              </w:rPr>
              <w:t xml:space="preserve">15</w:t>
            </w:r>
          </w:p>
        </w:tc>
      </w:tr>
    </w:tbl>
    <w:p/>
    <w:p>
      <w:pPr>
        <w:spacing w:before="150" w:after="60"/>
        <w:ind w:left="130" w:right="130"/>
        <w:shd w:fill="23265A" w:val="clear"/>
      </w:pPr>
      <w:r>
        <w:rPr>
          <w:b/>
          <w:bCs/>
          <w:color w:val="FFFFFF"/>
          <w:sz w:val="15"/>
          <w:szCs w:val="15"/>
        </w:rPr>
        <w:t xml:space="preserve">CHECK   </w:t>
      </w:r>
      <w:r>
        <w:rPr>
          <w:b/>
          <w:bCs/>
          <w:color w:val="FFFFFF"/>
          <w:sz w:val="17"/>
          <w:szCs w:val="17"/>
        </w:rPr>
        <w:t xml:space="preserve">Page 1</w:t>
      </w:r>
      <w:r>
        <w:rPr>
          <w:color w:val="FFFFFF"/>
          <w:sz w:val="15"/>
          <w:szCs w:val="15"/>
        </w:rPr>
        <w:t xml:space="preserve">   ·   items 1 to 15   ·   </w:t>
      </w:r>
      <w:r>
        <w:rPr>
          <w:color w:val="FFFFFF"/>
          <w:sz w:val="15"/>
          <w:szCs w:val="15"/>
        </w:rPr>
        <w:t xml:space="preserve">fewer than 11 right: </w:t>
      </w:r>
      <w:r>
        <w:rPr>
          <w:b/>
          <w:bCs/>
          <w:color w:val="FFFFFF"/>
          <w:sz w:val="15"/>
          <w:szCs w:val="15"/>
        </w:rPr>
        <w:t xml:space="preserve">read section 17.1 again before page 2</w:t>
      </w:r>
    </w:p>
    <w:p>
      <w:pPr>
        <w:spacing w:after="0"/>
        <w:pageBreakBefore w:val="true"/>
      </w:pPr>
      <w:r>
        <w:rPr>
          <w:sz w:val="2"/>
          <w:szCs w:val="2"/>
        </w:rPr>
        <w:t xml:space="preserve"> </w:t>
      </w:r>
    </w:p>
    <w:p>
      <w:pPr>
        <w:spacing w:before="120" w:after="55"/>
        <w:pBdr>
          <w:top w:val="single" w:sz="10" w:space="6" w:color="353A7C"/>
        </w:pBdr>
      </w:pPr>
      <w:r>
        <w:rPr>
          <w:b/>
          <w:bCs/>
          <w:color w:val="353A7C"/>
          <w:sz w:val="21"/>
          <w:szCs w:val="21"/>
        </w:rPr>
        <w:t xml:space="preserve">Exercise 4 · classification   </w:t>
      </w:r>
      <w:r>
        <w:rPr>
          <w:b/>
          <w:bCs/>
          <w:sz w:val="19"/>
          <w:szCs w:val="19"/>
        </w:rPr>
        <w:t xml:space="preserve">U.S. GAAP only, IFRS only, or both? Write one letter beside each item:  I = IFRS only · U = U.S. GAAP only · _ = ________.</w:t>
      </w:r>
    </w:p>
    <w:p>
      <w:pPr>
        <w:spacing w:before="70" w:after="60" w:line="300" w:lineRule="auto"/>
        <w:ind w:left="200"/>
      </w:pPr>
      <w:r>
        <w:rPr>
          <w:b/>
          <w:bCs/>
          <w:color w:val="353A7C"/>
          <w:sz w:val="18"/>
          <w:szCs w:val="18"/>
        </w:rPr>
        <w:t xml:space="preserve">16  </w:t>
      </w:r>
      <w:r>
        <w:rPr>
          <w:sz w:val="18"/>
          <w:szCs w:val="18"/>
        </w:rPr>
        <w:t xml:space="preserve">LIFO is permitted  </w:t>
      </w:r>
      <w:r>
        <w:rPr>
          <w:u w:val="single"/>
          <w:sz w:val="18"/>
          <w:szCs w:val="18"/>
        </w:rPr>
        <w:t xml:space="preserve">     </w:t>
      </w:r>
      <w:r>
        <w:rPr>
          <w:sz w:val="18"/>
          <w:szCs w:val="18"/>
        </w:rPr>
        <w:t xml:space="preserve">      </w:t>
      </w:r>
      <w:r>
        <w:rPr>
          <w:b/>
          <w:bCs/>
          <w:color w:val="353A7C"/>
          <w:sz w:val="18"/>
          <w:szCs w:val="18"/>
        </w:rPr>
        <w:t xml:space="preserve">17  </w:t>
      </w:r>
      <w:r>
        <w:rPr>
          <w:sz w:val="18"/>
          <w:szCs w:val="18"/>
        </w:rPr>
        <w:t xml:space="preserve">Inventory write-downs are reversed when NRV recovers  </w:t>
      </w:r>
      <w:r>
        <w:rPr>
          <w:u w:val="single"/>
          <w:sz w:val="18"/>
          <w:szCs w:val="18"/>
        </w:rPr>
        <w:t xml:space="preserve">     </w:t>
      </w:r>
      <w:r>
        <w:rPr>
          <w:sz w:val="18"/>
          <w:szCs w:val="18"/>
        </w:rPr>
        <w:t xml:space="preserve">      </w:t>
      </w:r>
      <w:r>
        <w:rPr>
          <w:b/>
          <w:bCs/>
          <w:color w:val="353A7C"/>
          <w:sz w:val="18"/>
          <w:szCs w:val="18"/>
        </w:rPr>
        <w:t xml:space="preserve">18  </w:t>
      </w:r>
      <w:r>
        <w:rPr>
          <w:sz w:val="18"/>
          <w:szCs w:val="18"/>
        </w:rPr>
        <w:t xml:space="preserve">Development costs are capitalized when criteria are met  </w:t>
      </w:r>
      <w:r>
        <w:rPr>
          <w:u w:val="single"/>
          <w:sz w:val="18"/>
          <w:szCs w:val="18"/>
        </w:rPr>
        <w:t xml:space="preserve">     </w:t>
      </w:r>
      <w:r>
        <w:rPr>
          <w:sz w:val="18"/>
          <w:szCs w:val="18"/>
        </w:rPr>
        <w:t xml:space="preserve">      </w:t>
      </w:r>
      <w:r>
        <w:rPr>
          <w:b/>
          <w:bCs/>
          <w:color w:val="353A7C"/>
          <w:sz w:val="18"/>
          <w:szCs w:val="18"/>
        </w:rPr>
        <w:t xml:space="preserve">19  </w:t>
      </w:r>
      <w:r>
        <w:rPr>
          <w:sz w:val="18"/>
          <w:szCs w:val="18"/>
        </w:rPr>
        <w:t xml:space="preserve">Impairment is tested first with undiscounted cash flows  </w:t>
      </w:r>
      <w:r>
        <w:rPr>
          <w:u w:val="single"/>
          <w:sz w:val="18"/>
          <w:szCs w:val="18"/>
        </w:rPr>
        <w:t xml:space="preserve">     </w:t>
      </w:r>
      <w:r>
        <w:rPr>
          <w:sz w:val="18"/>
          <w:szCs w:val="18"/>
        </w:rPr>
        <w:t xml:space="preserve">      </w:t>
      </w:r>
      <w:r>
        <w:rPr>
          <w:b/>
          <w:bCs/>
          <w:color w:val="353A7C"/>
          <w:sz w:val="18"/>
          <w:szCs w:val="18"/>
        </w:rPr>
        <w:t xml:space="preserve">20  </w:t>
      </w:r>
      <w:r>
        <w:rPr>
          <w:sz w:val="18"/>
          <w:szCs w:val="18"/>
        </w:rPr>
        <w:t xml:space="preserve">A short-term lease exemption exists  </w:t>
      </w:r>
      <w:r>
        <w:rPr>
          <w:u w:val="single"/>
          <w:sz w:val="18"/>
          <w:szCs w:val="18"/>
        </w:rPr>
        <w:t xml:space="preserve">     </w:t>
      </w:r>
      <w:r>
        <w:rPr>
          <w:sz w:val="18"/>
          <w:szCs w:val="18"/>
        </w:rPr>
        <w:t xml:space="preserve">      </w:t>
      </w:r>
      <w:r>
        <w:rPr>
          <w:b/>
          <w:bCs/>
          <w:color w:val="353A7C"/>
          <w:sz w:val="18"/>
          <w:szCs w:val="18"/>
        </w:rPr>
        <w:t xml:space="preserve">21  </w:t>
      </w:r>
      <w:r>
        <w:rPr>
          <w:sz w:val="18"/>
          <w:szCs w:val="18"/>
        </w:rPr>
        <w:t xml:space="preserve">Prior service cost is expensed immediately  </w:t>
      </w:r>
      <w:r>
        <w:rPr>
          <w:u w:val="single"/>
          <w:sz w:val="18"/>
          <w:szCs w:val="18"/>
        </w:rPr>
        <w:t xml:space="preserve">     </w:t>
      </w:r>
    </w:p>
    <w:p/>
    <w:p>
      <w:pPr>
        <w:spacing w:before="120" w:after="55"/>
        <w:pBdr>
          <w:top w:val="single" w:sz="10" w:space="6" w:color="353A7C"/>
        </w:pBdr>
      </w:pPr>
      <w:r>
        <w:rPr>
          <w:b/>
          <w:bCs/>
          <w:color w:val="353A7C"/>
          <w:sz w:val="21"/>
          <w:szCs w:val="21"/>
        </w:rPr>
        <w:t xml:space="preserve">Exercise 5 · multiple choice   </w:t>
      </w:r>
      <w:r>
        <w:rPr>
          <w:b/>
          <w:bCs/>
          <w:sz w:val="19"/>
          <w:szCs w:val="19"/>
        </w:rPr>
        <w:t xml:space="preserve">Ring one letter for each question.</w:t>
      </w:r>
    </w:p>
    <w:p>
      <w:pPr>
        <w:spacing w:before="55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22.  </w:t>
      </w:r>
      <w:r>
        <w:rPr>
          <w:sz w:val="19"/>
          <w:szCs w:val="19"/>
        </w:rPr>
        <w:t xml:space="preserve">A company grants share options that vest one third each year for three years (service condition only). Which statement is correct?</w:t>
      </w:r>
    </w:p>
    <w:tbl>
      <w:tblPr>
        <w:tblW w:type="pct" w:w="100%"/>
        <w:tblInd w:type="dxa" w:w="300"/>
      </w:tblPr>
      <w:tblGrid>
        <w:gridCol w:w="50"/>
        <w:gridCol w:w="50"/>
      </w:tblGrid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(A) </w:t>
            </w:r>
            <w:r>
              <w:rPr>
                <w:sz w:val="18"/>
                <w:szCs w:val="18"/>
              </w:rPr>
              <w:t xml:space="preserve">Both frameworks require straight-line recognition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(B) </w:t>
            </w:r>
            <w:r>
              <w:rPr>
                <w:sz w:val="18"/>
                <w:szCs w:val="18"/>
              </w:rPr>
              <w:t xml:space="preserve">U.S. GAAP allows straight-line or tranche-by-tranche recognition; IFRS 2 requires tranche by tranche</w:t>
            </w:r>
          </w:p>
        </w:tc>
      </w:tr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(C) </w:t>
            </w:r>
            <w:r>
              <w:rPr>
                <w:sz w:val="18"/>
                <w:szCs w:val="18"/>
              </w:rPr>
              <w:t xml:space="preserve">U.S. GAAP requires tranche by tranche; IFRS allows a choice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(D) </w:t>
            </w:r>
            <w:r>
              <w:rPr>
                <w:sz w:val="18"/>
                <w:szCs w:val="18"/>
              </w:rPr>
              <w:t xml:space="preserve">Neither framework recognizes expense until vesting</w:t>
            </w:r>
          </w:p>
        </w:tc>
      </w:tr>
    </w:tbl>
    <w:p>
      <w:pPr>
        <w:spacing w:before="55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23.  </w:t>
      </w:r>
      <w:r>
        <w:rPr>
          <w:sz w:val="19"/>
          <w:szCs w:val="19"/>
        </w:rPr>
        <w:t xml:space="preserve">Orontes spends $300,000 developing a new product, and all IAS 38 criteria are met. Under U.S. GAAP the cost is:</w:t>
      </w:r>
    </w:p>
    <w:tbl>
      <w:tblPr>
        <w:tblW w:type="pct" w:w="100%"/>
        <w:tblInd w:type="dxa" w:w="300"/>
      </w:tblPr>
      <w:tblGrid>
        <w:gridCol w:w="50"/>
        <w:gridCol w:w="50"/>
      </w:tblGrid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(A) </w:t>
            </w:r>
            <w:r>
              <w:rPr>
                <w:sz w:val="18"/>
                <w:szCs w:val="18"/>
              </w:rPr>
              <w:t xml:space="preserve">capitalized as an intangible asset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(B) </w:t>
            </w:r>
            <w:r>
              <w:rPr>
                <w:sz w:val="18"/>
                <w:szCs w:val="18"/>
              </w:rPr>
              <w:t xml:space="preserve">capitalized, then revalued</w:t>
            </w:r>
          </w:p>
        </w:tc>
      </w:tr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(C) </w:t>
            </w:r>
            <w:r>
              <w:rPr>
                <w:sz w:val="18"/>
                <w:szCs w:val="18"/>
              </w:rPr>
              <w:t xml:space="preserve">expensed as incurred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(D) </w:t>
            </w:r>
            <w:r>
              <w:rPr>
                <w:sz w:val="18"/>
                <w:szCs w:val="18"/>
              </w:rPr>
              <w:t xml:space="preserve">deferred until sales begin</w:t>
            </w:r>
          </w:p>
        </w:tc>
      </w:tr>
    </w:tbl>
    <w:p>
      <w:pPr>
        <w:spacing w:before="55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24.  </w:t>
      </w:r>
      <w:r>
        <w:rPr>
          <w:sz w:val="19"/>
          <w:szCs w:val="19"/>
        </w:rPr>
        <w:t xml:space="preserve">When may a company revalue an intangible asset upward?</w:t>
      </w:r>
    </w:p>
    <w:tbl>
      <w:tblPr>
        <w:tblW w:type="pct" w:w="100%"/>
        <w:tblInd w:type="dxa" w:w="300"/>
      </w:tblPr>
      <w:tblGrid>
        <w:gridCol w:w="50"/>
        <w:gridCol w:w="50"/>
      </w:tblGrid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(A) </w:t>
            </w:r>
            <w:r>
              <w:rPr>
                <w:sz w:val="18"/>
                <w:szCs w:val="18"/>
              </w:rPr>
              <w:t xml:space="preserve">Only under IFRS, and only when an active market exists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(B) </w:t>
            </w:r>
            <w:r>
              <w:rPr>
                <w:sz w:val="18"/>
                <w:szCs w:val="18"/>
              </w:rPr>
              <w:t xml:space="preserve">Under both frameworks, every year</w:t>
            </w:r>
          </w:p>
        </w:tc>
      </w:tr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(C) </w:t>
            </w:r>
            <w:r>
              <w:rPr>
                <w:sz w:val="18"/>
                <w:szCs w:val="18"/>
              </w:rPr>
              <w:t xml:space="preserve">Only under U.S. GAAP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(D) </w:t>
            </w:r>
            <w:r>
              <w:rPr>
                <w:sz w:val="18"/>
                <w:szCs w:val="18"/>
              </w:rPr>
              <w:t xml:space="preserve">Never under either framework</w:t>
            </w:r>
          </w:p>
        </w:tc>
      </w:tr>
    </w:tbl>
    <w:p>
      <w:pPr>
        <w:spacing w:before="55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25.  </w:t>
      </w:r>
      <w:r>
        <w:rPr>
          <w:sz w:val="19"/>
          <w:szCs w:val="19"/>
        </w:rPr>
        <w:t xml:space="preserve">A French subsidiary using IFRS wants to adopt LIFO to lower its taxable profit. Under IFRS, it:</w:t>
      </w:r>
    </w:p>
    <w:tbl>
      <w:tblPr>
        <w:tblW w:type="pct" w:w="100%"/>
        <w:tblInd w:type="dxa" w:w="300"/>
      </w:tblPr>
      <w:tblGrid>
        <w:gridCol w:w="50"/>
        <w:gridCol w:w="50"/>
      </w:tblGrid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(A) </w:t>
            </w:r>
            <w:r>
              <w:rPr>
                <w:sz w:val="18"/>
                <w:szCs w:val="18"/>
              </w:rPr>
              <w:t xml:space="preserve">cannot use LIFO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(B) </w:t>
            </w:r>
            <w:r>
              <w:rPr>
                <w:sz w:val="18"/>
                <w:szCs w:val="18"/>
              </w:rPr>
              <w:t xml:space="preserve">may use LIFO if it also uses it for tax</w:t>
            </w:r>
          </w:p>
        </w:tc>
      </w:tr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(C) </w:t>
            </w:r>
            <w:r>
              <w:rPr>
                <w:sz w:val="18"/>
                <w:szCs w:val="18"/>
              </w:rPr>
              <w:t xml:space="preserve">may use LIFO for part of its inventory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(D) </w:t>
            </w:r>
            <w:r>
              <w:rPr>
                <w:sz w:val="18"/>
                <w:szCs w:val="18"/>
              </w:rPr>
              <w:t xml:space="preserve">must use LIFO when prices rise</w:t>
            </w:r>
          </w:p>
        </w:tc>
      </w:tr>
    </w:tbl>
    <w:p>
      <w:pPr>
        <w:spacing w:before="55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26.  </w:t>
      </w:r>
      <w:r>
        <w:rPr>
          <w:sz w:val="19"/>
          <w:szCs w:val="19"/>
        </w:rPr>
        <w:t xml:space="preserve">Which lessee rule exists under IFRS 16 but NOT under ASC 842?</w:t>
      </w:r>
    </w:p>
    <w:tbl>
      <w:tblPr>
        <w:tblW w:type="pct" w:w="100%"/>
        <w:tblInd w:type="dxa" w:w="300"/>
      </w:tblPr>
      <w:tblGrid>
        <w:gridCol w:w="50"/>
        <w:gridCol w:w="50"/>
      </w:tblGrid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(A) </w:t>
            </w:r>
            <w:r>
              <w:rPr>
                <w:sz w:val="18"/>
                <w:szCs w:val="18"/>
              </w:rPr>
              <w:t xml:space="preserve">An exemption for leases of 12 months or less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(B) </w:t>
            </w:r>
            <w:r>
              <w:rPr>
                <w:sz w:val="18"/>
                <w:szCs w:val="18"/>
              </w:rPr>
              <w:t xml:space="preserve">A right-of-use asset for most leases</w:t>
            </w:r>
          </w:p>
        </w:tc>
      </w:tr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(C) </w:t>
            </w:r>
            <w:r>
              <w:rPr>
                <w:sz w:val="18"/>
                <w:szCs w:val="18"/>
              </w:rPr>
              <w:t xml:space="preserve">An exemption for leases of low-value assets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(D) </w:t>
            </w:r>
            <w:r>
              <w:rPr>
                <w:sz w:val="18"/>
                <w:szCs w:val="18"/>
              </w:rPr>
              <w:t xml:space="preserve">Discounting the lease payments</w:t>
            </w:r>
          </w:p>
        </w:tc>
      </w:tr>
    </w:tbl>
    <w:p>
      <w:pPr>
        <w:spacing w:before="55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27.  </w:t>
      </w:r>
      <w:r>
        <w:rPr>
          <w:sz w:val="19"/>
          <w:szCs w:val="19"/>
        </w:rPr>
        <w:t xml:space="preserve">An aircraft has an engine that lasts 5 years and a body that lasts 25 years. Which statement is correct?</w:t>
      </w:r>
    </w:p>
    <w:tbl>
      <w:tblPr>
        <w:tblW w:type="pct" w:w="100%"/>
        <w:tblInd w:type="dxa" w:w="300"/>
      </w:tblPr>
      <w:tblGrid>
        <w:gridCol w:w="50"/>
        <w:gridCol w:w="50"/>
      </w:tblGrid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(A) </w:t>
            </w:r>
            <w:r>
              <w:rPr>
                <w:sz w:val="18"/>
                <w:szCs w:val="18"/>
              </w:rPr>
              <w:t xml:space="preserve">IFRS requires the parts to be depreciated separately; U.S. GAAP allows but does not require it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(B) </w:t>
            </w:r>
            <w:r>
              <w:rPr>
                <w:sz w:val="18"/>
                <w:szCs w:val="18"/>
              </w:rPr>
              <w:t xml:space="preserve">U.S. GAAP requires component depreciation; IFRS does not</w:t>
            </w:r>
          </w:p>
        </w:tc>
      </w:tr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(C) </w:t>
            </w:r>
            <w:r>
              <w:rPr>
                <w:sz w:val="18"/>
                <w:szCs w:val="18"/>
              </w:rPr>
              <w:t xml:space="preserve">Both prohibit component depreciation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(D) </w:t>
            </w:r>
            <w:r>
              <w:rPr>
                <w:sz w:val="18"/>
                <w:szCs w:val="18"/>
              </w:rPr>
              <w:t xml:space="preserve">Only the body is depreciated</w:t>
            </w:r>
          </w:p>
        </w:tc>
      </w:tr>
    </w:tbl>
    <w:p/>
    <w:p>
      <w:pPr>
        <w:spacing w:before="150" w:after="60"/>
        <w:ind w:left="130" w:right="130"/>
        <w:shd w:fill="23265A" w:val="clear"/>
      </w:pPr>
      <w:r>
        <w:rPr>
          <w:b/>
          <w:bCs/>
          <w:color w:val="FFFFFF"/>
          <w:sz w:val="15"/>
          <w:szCs w:val="15"/>
        </w:rPr>
        <w:t xml:space="preserve">CHECK   </w:t>
      </w:r>
      <w:r>
        <w:rPr>
          <w:b/>
          <w:bCs/>
          <w:color w:val="FFFFFF"/>
          <w:sz w:val="17"/>
          <w:szCs w:val="17"/>
        </w:rPr>
        <w:t xml:space="preserve">Page 2</w:t>
      </w:r>
      <w:r>
        <w:rPr>
          <w:color w:val="FFFFFF"/>
          <w:sz w:val="15"/>
          <w:szCs w:val="15"/>
        </w:rPr>
        <w:t xml:space="preserve">   ·   items 16 to 27   ·   </w:t>
      </w:r>
      <w:r>
        <w:rPr>
          <w:color w:val="FFFFFF"/>
          <w:sz w:val="15"/>
          <w:szCs w:val="15"/>
        </w:rPr>
        <w:t xml:space="preserve">fewer than 9 right: </w:t>
      </w:r>
      <w:r>
        <w:rPr>
          <w:b/>
          <w:bCs/>
          <w:color w:val="FFFFFF"/>
          <w:sz w:val="15"/>
          <w:szCs w:val="15"/>
        </w:rPr>
        <w:t xml:space="preserve">redo page 2 before page 3</w:t>
      </w:r>
    </w:p>
    <w:p>
      <w:pPr>
        <w:spacing w:after="0"/>
        <w:pageBreakBefore w:val="true"/>
      </w:pPr>
      <w:r>
        <w:rPr>
          <w:sz w:val="2"/>
          <w:szCs w:val="2"/>
        </w:rPr>
        <w:t xml:space="preserve"> </w:t>
      </w:r>
    </w:p>
    <w:p>
      <w:pPr>
        <w:spacing w:before="120" w:after="55"/>
        <w:pBdr>
          <w:top w:val="single" w:sz="10" w:space="6" w:color="353A7C"/>
        </w:pBdr>
      </w:pPr>
      <w:r>
        <w:rPr>
          <w:b/>
          <w:bCs/>
          <w:color w:val="353A7C"/>
          <w:sz w:val="21"/>
          <w:szCs w:val="21"/>
        </w:rPr>
        <w:t xml:space="preserve">Exercise 6 · true or false   </w:t>
      </w:r>
      <w:r>
        <w:rPr>
          <w:b/>
          <w:bCs/>
          <w:sz w:val="19"/>
          <w:szCs w:val="19"/>
        </w:rPr>
        <w:t xml:space="preserve">Ring T or F for each statement.</w:t>
      </w:r>
    </w:p>
    <w:tbl>
      <w:tblPr>
        <w:tblW w:type="pct" w:w="100%"/>
        <w:tblBorders>
          <w:top w:val="single" w:color="DFE3EE" w:sz="4"/>
          <w:left w:val="single" w:color="DFE3EE" w:sz="4"/>
          <w:bottom w:val="single" w:color="DFE3EE" w:sz="4"/>
          <w:right w:val="single" w:color="DFE3EE" w:sz="4"/>
          <w:insideH w:val="single" w:color="DFE3EE" w:sz="4"/>
          <w:insideV w:val="single" w:color="DFE3EE" w:sz="4"/>
        </w:tblBorders>
      </w:tblPr>
      <w:tblGrid>
        <w:gridCol w:w="82"/>
        <w:gridCol w:w="18"/>
      </w:tblGrid>
      <w:tr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Statement</w:t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True or false?</w:t>
            </w:r>
          </w:p>
        </w:tc>
      </w:tr>
      <w:tr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28.  </w:t>
            </w:r>
            <w:r>
              <w:rPr>
                <w:sz w:val="18"/>
                <w:szCs w:val="18"/>
              </w:rPr>
              <w:t xml:space="preserve">Only IFRS 16 has the low-value exemption.</w:t>
            </w:r>
          </w:p>
        </w:tc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pPr>
              <w:jc w:val="center"/>
            </w:pPr>
            <w:r>
              <w:rPr>
                <w:b/>
                <w:bCs/>
                <w:color w:val="6B7280"/>
                <w:sz w:val="18"/>
                <w:szCs w:val="18"/>
              </w:rPr>
              <w:t xml:space="preserve">T        F</w:t>
            </w:r>
          </w:p>
        </w:tc>
      </w:tr>
      <w:tr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29.  </w:t>
            </w:r>
            <w:r>
              <w:rPr>
                <w:sz w:val="18"/>
                <w:szCs w:val="18"/>
              </w:rPr>
              <w:t xml:space="preserve">Lower of cost and net realizable value</w:t>
            </w:r>
          </w:p>
        </w:tc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pPr>
              <w:jc w:val="center"/>
            </w:pPr>
            <w:r>
              <w:rPr>
                <w:b/>
                <w:bCs/>
                <w:color w:val="6B7280"/>
                <w:sz w:val="18"/>
                <w:szCs w:val="18"/>
              </w:rPr>
              <w:t xml:space="preserve">T        F</w:t>
            </w:r>
          </w:p>
        </w:tc>
      </w:tr>
      <w:tr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30.  </w:t>
            </w:r>
            <w:r>
              <w:rPr>
                <w:sz w:val="18"/>
                <w:szCs w:val="18"/>
              </w:rPr>
              <w:t xml:space="preserve">Component depreciation is required by IAS 16.</w:t>
            </w:r>
          </w:p>
        </w:tc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pPr>
              <w:jc w:val="center"/>
            </w:pPr>
            <w:r>
              <w:rPr>
                <w:b/>
                <w:bCs/>
                <w:color w:val="6B7280"/>
                <w:sz w:val="18"/>
                <w:szCs w:val="18"/>
              </w:rPr>
              <w:t xml:space="preserve">T        F</w:t>
            </w:r>
          </w:p>
        </w:tc>
      </w:tr>
      <w:tr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31.  </w:t>
            </w:r>
            <w:r>
              <w:rPr>
                <w:sz w:val="18"/>
                <w:szCs w:val="18"/>
              </w:rPr>
              <w:t xml:space="preserve">may use LIFO for part of its inventory</w:t>
            </w:r>
          </w:p>
        </w:tc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pPr>
              <w:jc w:val="center"/>
            </w:pPr>
            <w:r>
              <w:rPr>
                <w:b/>
                <w:bCs/>
                <w:color w:val="6B7280"/>
                <w:sz w:val="18"/>
                <w:szCs w:val="18"/>
              </w:rPr>
              <w:t xml:space="preserve">T        F</w:t>
            </w:r>
          </w:p>
        </w:tc>
      </w:tr>
      <w:tr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32.  </w:t>
            </w:r>
            <w:r>
              <w:rPr>
                <w:sz w:val="18"/>
                <w:szCs w:val="18"/>
              </w:rPr>
              <w:t xml:space="preserve">Accruing over the vesting period is the IFRS approach.</w:t>
            </w:r>
          </w:p>
        </w:tc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pPr>
              <w:jc w:val="center"/>
            </w:pPr>
            <w:r>
              <w:rPr>
                <w:b/>
                <w:bCs/>
                <w:color w:val="6B7280"/>
                <w:sz w:val="18"/>
                <w:szCs w:val="18"/>
              </w:rPr>
              <w:t xml:space="preserve">T        F</w:t>
            </w:r>
          </w:p>
        </w:tc>
      </w:tr>
      <w:tr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33.  </w:t>
            </w:r>
            <w:r>
              <w:rPr>
                <w:sz w:val="18"/>
                <w:szCs w:val="18"/>
              </w:rPr>
              <w:t xml:space="preserve">Recoverable amount is the higher amount, $460,000.</w:t>
            </w:r>
          </w:p>
        </w:tc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pPr>
              <w:jc w:val="center"/>
            </w:pPr>
            <w:r>
              <w:rPr>
                <w:b/>
                <w:bCs/>
                <w:color w:val="6B7280"/>
                <w:sz w:val="18"/>
                <w:szCs w:val="18"/>
              </w:rPr>
              <w:t xml:space="preserve">T        F</w:t>
            </w:r>
          </w:p>
        </w:tc>
      </w:tr>
      <w:tr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34.  </w:t>
            </w:r>
            <w:r>
              <w:rPr>
                <w:sz w:val="18"/>
                <w:szCs w:val="18"/>
              </w:rPr>
              <w:t xml:space="preserve">no expense until the lease ends</w:t>
            </w:r>
          </w:p>
        </w:tc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pPr>
              <w:jc w:val="center"/>
            </w:pPr>
            <w:r>
              <w:rPr>
                <w:b/>
                <w:bCs/>
                <w:color w:val="6B7280"/>
                <w:sz w:val="18"/>
                <w:szCs w:val="18"/>
              </w:rPr>
              <w:t xml:space="preserve">T        F</w:t>
            </w:r>
          </w:p>
        </w:tc>
      </w:tr>
    </w:tbl>
    <w:p/>
    <w:p>
      <w:pPr>
        <w:spacing w:before="120" w:after="55"/>
        <w:pBdr>
          <w:top w:val="single" w:sz="10" w:space="6" w:color="353A7C"/>
        </w:pBdr>
      </w:pPr>
      <w:r>
        <w:rPr>
          <w:b/>
          <w:bCs/>
          <w:color w:val="353A7C"/>
          <w:sz w:val="21"/>
          <w:szCs w:val="21"/>
        </w:rPr>
        <w:t xml:space="preserve">Exercise 7 · matching   </w:t>
      </w:r>
      <w:r>
        <w:rPr>
          <w:b/>
          <w:bCs/>
          <w:sz w:val="19"/>
          <w:szCs w:val="19"/>
        </w:rPr>
        <w:t xml:space="preserve">Write the letter of the Arabic term beside each English one.</w:t>
      </w:r>
    </w:p>
    <w:tbl>
      <w:tblPr>
        <w:tblW w:type="pct" w:w="100%"/>
        <w:tblBorders>
          <w:top w:val="single" w:color="DFE3EE" w:sz="4"/>
          <w:left w:val="single" w:color="DFE3EE" w:sz="4"/>
          <w:bottom w:val="single" w:color="DFE3EE" w:sz="4"/>
          <w:right w:val="single" w:color="DFE3EE" w:sz="4"/>
          <w:insideH w:val="single" w:color="DFE3EE" w:sz="4"/>
          <w:insideV w:val="single" w:color="DFE3EE" w:sz="4"/>
        </w:tblBorders>
      </w:tblPr>
      <w:tblGrid>
        <w:gridCol w:w="4"/>
        <w:gridCol w:w="40"/>
        <w:gridCol w:w="7"/>
        <w:gridCol w:w="4"/>
        <w:gridCol w:w="45"/>
      </w:tblGrid>
      <w:tr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/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English (exam term)</w:t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/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/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العربية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1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revaluation model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A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تكلفة الخدمة السابقة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2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revaluation surplus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B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إعادة القياس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3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development costs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C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تكاليف التطوير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4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value in use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D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المبلغ القابل للاسترداد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5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recoverable amount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E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نموذج إعادة التقييم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6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cash-generating unit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F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القيمة من الاستخدام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7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prior service cost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G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فائض إعادة التقييم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8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remeasurements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H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وحدة توليد النقد</w:t>
            </w:r>
          </w:p>
        </w:tc>
      </w:tr>
    </w:tbl>
    <w:p/>
    <w:p>
      <w:pPr>
        <w:spacing w:before="120" w:after="55"/>
        <w:pBdr>
          <w:top w:val="single" w:sz="10" w:space="6" w:color="353A7C"/>
        </w:pBdr>
      </w:pPr>
      <w:r>
        <w:rPr>
          <w:b/>
          <w:bCs/>
          <w:color w:val="353A7C"/>
          <w:sz w:val="21"/>
          <w:szCs w:val="21"/>
        </w:rPr>
        <w:t xml:space="preserve">Exercise 8 · fill in the table   </w:t>
      </w:r>
      <w:r>
        <w:rPr>
          <w:b/>
          <w:bCs/>
          <w:sz w:val="19"/>
          <w:szCs w:val="19"/>
        </w:rPr>
        <w:t xml:space="preserve">Answer each item of the case set. The first one is done.</w:t>
      </w:r>
    </w:p>
    <w:tbl>
      <w:tblPr>
        <w:tblW w:type="pct" w:w="100%"/>
        <w:tblBorders>
          <w:top w:val="single" w:color="DFE3EE" w:sz="4"/>
          <w:left w:val="single" w:color="DFE3EE" w:sz="4"/>
          <w:bottom w:val="single" w:color="DFE3EE" w:sz="4"/>
          <w:right w:val="single" w:color="DFE3EE" w:sz="4"/>
          <w:insideH w:val="single" w:color="DFE3EE" w:sz="4"/>
          <w:insideV w:val="single" w:color="DFE3EE" w:sz="4"/>
        </w:tblBorders>
      </w:tblPr>
      <w:tblGrid>
        <w:gridCol w:w="70"/>
        <w:gridCol w:w="30"/>
      </w:tblGrid>
      <w:tr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The item, as the book asks it</w:t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Your answer</w:t>
            </w:r>
          </w:p>
        </w:tc>
      </w:tr>
      <w:tr>
        <w:tc>
          <w:tcPr>
            <w:shd w:fill="EFF0FB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sz w:val="17"/>
                <w:szCs w:val="17"/>
              </w:rPr>
              <w:t xml:space="preserve">Enter the net decrease in Levant's 2027 net income on conversion to U.S. GAAP.</w:t>
            </w:r>
          </w:p>
        </w:tc>
        <w:tc>
          <w:tcPr>
            <w:shd w:fill="EFF0FB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23265A"/>
                <w:sz w:val="17"/>
                <w:szCs w:val="17"/>
              </w:rPr>
              <w:t xml:space="preserve">214</w:t>
            </w:r>
          </w:p>
        </w:tc>
      </w:tr>
      <w:tr>
        <w:tc>
          <w:tcPr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sz w:val="17"/>
                <w:szCs w:val="17"/>
              </w:rPr>
              <w:t xml:space="preserve">Enter Levant's 2027 net income under U.S. GAAP.</w:t>
            </w:r>
          </w:p>
        </w:tc>
        <w:tc>
          <w:tcPr>
            <w:tcBorders>
              <w:bottom w:val="single" w:sz="6" w:color="8186EF"/>
            </w:tcBorders>
            <w:tcMar>
              <w:top w:type="dxa" w:w="80"/>
              <w:left w:type="dxa" w:w="80"/>
              <w:bottom w:type="dxa" w:w="80"/>
            </w:tcMar>
          </w:tcPr>
          <w:p>
            <w:r>
              <w:rPr>
                <w:b/>
                <w:bCs/>
                <w:color w:val="8186EF"/>
                <w:sz w:val="14"/>
                <w:szCs w:val="14"/>
              </w:rPr>
              <w:t xml:space="preserve">43</w:t>
            </w:r>
          </w:p>
        </w:tc>
      </w:tr>
      <w:tr>
        <w:tc>
          <w:tcPr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sz w:val="17"/>
                <w:szCs w:val="17"/>
              </w:rPr>
              <w:t xml:space="preserve">Enter the carrying amount of the delivery fleet under U.S. GAAP.</w:t>
            </w:r>
          </w:p>
        </w:tc>
        <w:tc>
          <w:tcPr>
            <w:tcBorders>
              <w:bottom w:val="single" w:sz="6" w:color="8186EF"/>
            </w:tcBorders>
            <w:tcMar>
              <w:top w:type="dxa" w:w="80"/>
              <w:left w:type="dxa" w:w="80"/>
              <w:bottom w:type="dxa" w:w="80"/>
            </w:tcMar>
          </w:tcPr>
          <w:p>
            <w:r>
              <w:rPr>
                <w:b/>
                <w:bCs/>
                <w:color w:val="8186EF"/>
                <w:sz w:val="14"/>
                <w:szCs w:val="14"/>
              </w:rPr>
              <w:t xml:space="preserve">44</w:t>
            </w:r>
          </w:p>
        </w:tc>
      </w:tr>
      <w:tr>
        <w:tc>
          <w:tcPr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sz w:val="17"/>
                <w:szCs w:val="17"/>
              </w:rPr>
              <w:t xml:space="preserve">By how much is Levant's equity lower under U.S. GAAP than under IFRS?</w:t>
            </w:r>
          </w:p>
        </w:tc>
        <w:tc>
          <w:tcPr>
            <w:tcBorders>
              <w:bottom w:val="single" w:sz="6" w:color="8186EF"/>
            </w:tcBorders>
            <w:tcMar>
              <w:top w:type="dxa" w:w="80"/>
              <w:left w:type="dxa" w:w="80"/>
              <w:bottom w:type="dxa" w:w="80"/>
            </w:tcMar>
          </w:tcPr>
          <w:p>
            <w:r>
              <w:rPr>
                <w:b/>
                <w:bCs/>
                <w:color w:val="8186EF"/>
                <w:sz w:val="14"/>
                <w:szCs w:val="14"/>
              </w:rPr>
              <w:t xml:space="preserve">45</w:t>
            </w:r>
          </w:p>
        </w:tc>
      </w:tr>
    </w:tbl>
    <w:p/>
    <w:p>
      <w:pPr>
        <w:spacing w:before="150" w:after="60"/>
        <w:ind w:left="130" w:right="130"/>
        <w:shd w:fill="23265A" w:val="clear"/>
      </w:pPr>
      <w:r>
        <w:rPr>
          <w:b/>
          <w:bCs/>
          <w:color w:val="FFFFFF"/>
          <w:sz w:val="15"/>
          <w:szCs w:val="15"/>
        </w:rPr>
        <w:t xml:space="preserve">CHECK   </w:t>
      </w:r>
      <w:r>
        <w:rPr>
          <w:b/>
          <w:bCs/>
          <w:color w:val="FFFFFF"/>
          <w:sz w:val="17"/>
          <w:szCs w:val="17"/>
        </w:rPr>
        <w:t xml:space="preserve">Page 3</w:t>
      </w:r>
      <w:r>
        <w:rPr>
          <w:color w:val="FFFFFF"/>
          <w:sz w:val="15"/>
          <w:szCs w:val="15"/>
        </w:rPr>
        <w:t xml:space="preserve">   ·   items 28 to 45   ·   </w:t>
      </w:r>
      <w:r>
        <w:rPr>
          <w:color w:val="FFFFFF"/>
          <w:sz w:val="15"/>
          <w:szCs w:val="15"/>
        </w:rPr>
        <w:t xml:space="preserve">fewer than 13 right: </w:t>
      </w:r>
      <w:r>
        <w:rPr>
          <w:b/>
          <w:bCs/>
          <w:color w:val="FFFFFF"/>
          <w:sz w:val="15"/>
          <w:szCs w:val="15"/>
        </w:rPr>
        <w:t xml:space="preserve">redo page 3 before page 4</w:t>
      </w:r>
    </w:p>
    <w:p>
      <w:pPr>
        <w:spacing w:after="0"/>
        <w:pageBreakBefore w:val="true"/>
      </w:pPr>
      <w:r>
        <w:rPr>
          <w:sz w:val="2"/>
          <w:szCs w:val="2"/>
        </w:rPr>
        <w:t xml:space="preserve"> </w:t>
      </w:r>
    </w:p>
    <w:p>
      <w:pPr>
        <w:spacing w:before="120" w:after="55"/>
        <w:pBdr>
          <w:top w:val="single" w:sz="10" w:space="6" w:color="353A7C"/>
        </w:pBdr>
      </w:pPr>
      <w:r>
        <w:rPr>
          <w:b/>
          <w:bCs/>
          <w:color w:val="353A7C"/>
          <w:sz w:val="21"/>
          <w:szCs w:val="21"/>
        </w:rPr>
        <w:t xml:space="preserve">Exercise 9 · multiple choice   </w:t>
      </w:r>
      <w:r>
        <w:rPr>
          <w:b/>
          <w:bCs/>
          <w:sz w:val="19"/>
          <w:szCs w:val="19"/>
        </w:rPr>
        <w:t xml:space="preserve">Ring one letter for each question. Everything the questions need is in the panel below.</w:t>
      </w:r>
    </w:p>
    <w:p>
      <w:pPr>
        <w:spacing w:before="110" w:after="30"/>
        <w:ind w:left="120"/>
        <w:shd w:fill="6D3F7E" w:val="clear"/>
      </w:pPr>
      <w:r>
        <w:rPr>
          <w:b/>
          <w:bCs/>
          <w:color w:val="FFFFFF"/>
          <w:sz w:val="14"/>
          <w:szCs w:val="14"/>
        </w:rPr>
        <w:t xml:space="preserve">DATA   </w:t>
      </w:r>
      <w:r>
        <w:rPr>
          <w:b/>
          <w:bCs/>
          <w:color w:val="FFFFFF"/>
          <w:sz w:val="15"/>
          <w:szCs w:val="15"/>
        </w:rPr>
        <w:t xml:space="preserve">The exhibit these questions use</w:t>
      </w:r>
    </w:p>
    <w:tbl>
      <w:tblPr>
        <w:tblW w:type="pct" w:w="100%"/>
        <w:tblBorders>
          <w:top w:val="single" w:color="DFE3EE" w:sz="4"/>
          <w:left w:val="single" w:color="DFE3EE" w:sz="4"/>
          <w:bottom w:val="single" w:color="DFE3EE" w:sz="4"/>
          <w:right w:val="single" w:color="DFE3EE" w:sz="4"/>
          <w:insideH w:val="single" w:color="DFE3EE" w:sz="4"/>
          <w:insideV w:val="single" w:color="DFE3EE" w:sz="4"/>
        </w:tblBorders>
      </w:tblPr>
      <w:tblGrid>
        <w:gridCol w:w="33"/>
        <w:gridCol w:w="33"/>
        <w:gridCol w:w="33"/>
      </w:tblGrid>
      <w:tr>
        <w:tc>
          <w:tcPr>
            <w:shd w:fill="F5F7FC" w:val="clear"/>
            <w:tcMar>
              <w:top w:type="dxa" w:w="12"/>
              <w:left w:type="dxa" w:w="72"/>
              <w:bottom w:type="dxa" w:w="12"/>
              <w:right w:type="dxa" w:w="72"/>
            </w:tcMar>
          </w:tcPr>
          <w:p>
            <w:r>
              <w:rPr>
                <w:b/>
                <w:bCs/>
                <w:color w:val="23265A"/>
                <w:sz w:val="16"/>
                <w:szCs w:val="16"/>
              </w:rPr>
              <w:t xml:space="preserve">Topic</w:t>
            </w:r>
          </w:p>
        </w:tc>
        <w:tc>
          <w:tcPr>
            <w:shd w:fill="F5F7FC" w:val="clear"/>
            <w:tcMar>
              <w:top w:type="dxa" w:w="12"/>
              <w:left w:type="dxa" w:w="72"/>
              <w:bottom w:type="dxa" w:w="12"/>
              <w:right w:type="dxa" w:w="72"/>
            </w:tcMar>
          </w:tcPr>
          <w:p>
            <w:r>
              <w:rPr>
                <w:b/>
                <w:bCs/>
                <w:color w:val="23265A"/>
                <w:sz w:val="16"/>
                <w:szCs w:val="16"/>
              </w:rPr>
              <w:t xml:space="preserve">U.S. GAAP (ASC 718, 715)</w:t>
            </w:r>
          </w:p>
        </w:tc>
        <w:tc>
          <w:tcPr>
            <w:shd w:fill="F5F7FC" w:val="clear"/>
            <w:tcMar>
              <w:top w:type="dxa" w:w="12"/>
              <w:left w:type="dxa" w:w="72"/>
              <w:bottom w:type="dxa" w:w="12"/>
              <w:right w:type="dxa" w:w="72"/>
            </w:tcMar>
          </w:tcPr>
          <w:p>
            <w:r>
              <w:rPr>
                <w:b/>
                <w:bCs/>
                <w:color w:val="23265A"/>
                <w:sz w:val="16"/>
                <w:szCs w:val="16"/>
              </w:rPr>
              <w:t xml:space="preserve">IFRS (IFRS 2, IAS 19)</w:t>
            </w:r>
          </w:p>
        </w:tc>
      </w:tr>
      <w:tr>
        <w:tc>
          <w:tcPr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sz w:val="16"/>
                <w:szCs w:val="16"/>
              </w:rPr>
              <w:t xml:space="preserve">Graded vesting (service condition)</w:t>
            </w:r>
          </w:p>
        </w:tc>
        <w:tc>
          <w:tcPr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sz w:val="16"/>
                <w:szCs w:val="16"/>
              </w:rPr>
              <w:t xml:space="preserve">Choice: straight-line over the whole period or tranche by tranche</w:t>
            </w:r>
          </w:p>
        </w:tc>
        <w:tc>
          <w:tcPr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sz w:val="16"/>
                <w:szCs w:val="16"/>
              </w:rPr>
              <w:t xml:space="preserve">Tranche by tranche</w:t>
            </w:r>
          </w:p>
        </w:tc>
      </w:tr>
      <w:tr>
        <w:tc>
          <w:tcPr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sz w:val="16"/>
                <w:szCs w:val="16"/>
              </w:rPr>
              <w:t xml:space="preserve">Forfeitures</w:t>
            </w:r>
          </w:p>
        </w:tc>
        <w:tc>
          <w:tcPr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sz w:val="16"/>
                <w:szCs w:val="16"/>
              </w:rPr>
              <w:t xml:space="preserve">Policy choice: estimate or record as they occur</w:t>
            </w:r>
          </w:p>
        </w:tc>
        <w:tc>
          <w:tcPr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sz w:val="16"/>
                <w:szCs w:val="16"/>
              </w:rPr>
              <w:t xml:space="preserve">Estimate</w:t>
            </w:r>
          </w:p>
        </w:tc>
      </w:tr>
      <w:tr>
        <w:tc>
          <w:tcPr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sz w:val="16"/>
                <w:szCs w:val="16"/>
              </w:rPr>
              <w:t xml:space="preserve">Employer payroll taxes on awards</w:t>
            </w:r>
          </w:p>
        </w:tc>
        <w:tc>
          <w:tcPr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sz w:val="16"/>
                <w:szCs w:val="16"/>
              </w:rPr>
              <w:t xml:space="preserve">When the tax obligation arises (exercise or vesting)</w:t>
            </w:r>
          </w:p>
        </w:tc>
        <w:tc>
          <w:tcPr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sz w:val="16"/>
                <w:szCs w:val="16"/>
              </w:rPr>
              <w:t xml:space="preserve">Accrued over the vesting period</w:t>
            </w:r>
          </w:p>
        </w:tc>
      </w:tr>
      <w:tr>
        <w:tc>
          <w:tcPr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sz w:val="16"/>
                <w:szCs w:val="16"/>
              </w:rPr>
              <w:t xml:space="preserve">Pension remeasurements (actuarial gains and losses)</w:t>
            </w:r>
          </w:p>
        </w:tc>
        <w:tc>
          <w:tcPr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sz w:val="16"/>
                <w:szCs w:val="16"/>
              </w:rPr>
              <w:t xml:space="preserve">OCI, then amortized into net income (corridor)</w:t>
            </w:r>
          </w:p>
        </w:tc>
        <w:tc>
          <w:tcPr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sz w:val="16"/>
                <w:szCs w:val="16"/>
              </w:rPr>
              <w:t xml:space="preserve">OCI, never reclassified to profit</w:t>
            </w:r>
          </w:p>
        </w:tc>
      </w:tr>
      <w:tr>
        <w:tc>
          <w:tcPr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sz w:val="16"/>
                <w:szCs w:val="16"/>
              </w:rPr>
              <w:t xml:space="preserve">Return on plan assets</w:t>
            </w:r>
          </w:p>
        </w:tc>
        <w:tc>
          <w:tcPr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sz w:val="16"/>
                <w:szCs w:val="16"/>
              </w:rPr>
              <w:t xml:space="preserve">Expected return</w:t>
            </w:r>
          </w:p>
        </w:tc>
        <w:tc>
          <w:tcPr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sz w:val="16"/>
                <w:szCs w:val="16"/>
              </w:rPr>
              <w:t xml:space="preserve">Net interest at the discount rate</w:t>
            </w:r>
          </w:p>
        </w:tc>
      </w:tr>
      <w:tr>
        <w:tc>
          <w:tcPr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sz w:val="16"/>
                <w:szCs w:val="16"/>
              </w:rPr>
              <w:t xml:space="preserve">Prior service cost: Orontes amendment of 50,000</w:t>
            </w:r>
          </w:p>
        </w:tc>
        <w:tc>
          <w:tcPr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sz w:val="16"/>
                <w:szCs w:val="16"/>
              </w:rPr>
              <w:t xml:space="preserve">OCI, amortized over 10 years: 5,000 a year</w:t>
            </w:r>
          </w:p>
        </w:tc>
        <w:tc>
          <w:tcPr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sz w:val="16"/>
                <w:szCs w:val="16"/>
              </w:rPr>
              <w:t xml:space="preserve">Expensed at once: 50,000</w:t>
            </w:r>
          </w:p>
        </w:tc>
      </w:tr>
    </w:tbl>
    <w:p/>
    <w:p>
      <w:pPr>
        <w:spacing w:before="55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46.  </w:t>
      </w:r>
      <w:r>
        <w:rPr>
          <w:sz w:val="19"/>
          <w:szCs w:val="19"/>
        </w:rPr>
        <w:t xml:space="preserve">Use the panel above. How much of Orontes's prior service cost is recognized in 2027 net income under IAS 19 and under U.S. GAAP (whole USD)?</w:t>
      </w:r>
    </w:p>
    <w:tbl>
      <w:tblPr>
        <w:tblW w:type="pct" w:w="100%"/>
        <w:tblInd w:type="dxa" w:w="300"/>
      </w:tblPr>
      <w:tblGrid>
        <w:gridCol w:w="50"/>
        <w:gridCol w:w="50"/>
      </w:tblGrid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(A) </w:t>
            </w:r>
            <w:r>
              <w:rPr>
                <w:sz w:val="18"/>
                <w:szCs w:val="18"/>
              </w:rPr>
              <w:t xml:space="preserve">IFRS 5,000; U.S. 50,000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(B) </w:t>
            </w:r>
            <w:r>
              <w:rPr>
                <w:sz w:val="18"/>
                <w:szCs w:val="18"/>
              </w:rPr>
              <w:t xml:space="preserve">Both 50,000</w:t>
            </w:r>
          </w:p>
        </w:tc>
      </w:tr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(C) </w:t>
            </w:r>
            <w:r>
              <w:rPr>
                <w:sz w:val="18"/>
                <w:szCs w:val="18"/>
              </w:rPr>
              <w:t xml:space="preserve">Both 5,000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(D) </w:t>
            </w:r>
            <w:r>
              <w:rPr>
                <w:sz w:val="18"/>
                <w:szCs w:val="18"/>
              </w:rPr>
              <w:t xml:space="preserve">IFRS 50,000; U.S. 5,000</w:t>
            </w:r>
          </w:p>
        </w:tc>
      </w:tr>
    </w:tbl>
    <w:p>
      <w:pPr>
        <w:spacing w:before="55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47.  </w:t>
      </w:r>
      <w:r>
        <w:rPr>
          <w:sz w:val="19"/>
          <w:szCs w:val="19"/>
        </w:rPr>
        <w:t xml:space="preserve">Use the panel above. What is the warehouse lease expense for 2026 under IFRS 16 (whole USD)?</w:t>
      </w:r>
    </w:p>
    <w:tbl>
      <w:tblPr>
        <w:tblW w:type="pct" w:w="100%"/>
        <w:tblInd w:type="dxa" w:w="300"/>
      </w:tblPr>
      <w:tblGrid>
        <w:gridCol w:w="50"/>
        <w:gridCol w:w="50"/>
      </w:tblGrid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(A) </w:t>
            </w:r>
            <w:r>
              <w:rPr>
                <w:sz w:val="18"/>
                <w:szCs w:val="18"/>
              </w:rPr>
              <w:t xml:space="preserve">25,274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(B) </w:t>
            </w:r>
            <w:r>
              <w:rPr>
                <w:sz w:val="18"/>
                <w:szCs w:val="18"/>
              </w:rPr>
              <w:t xml:space="preserve">84,247</w:t>
            </w:r>
          </w:p>
        </w:tc>
      </w:tr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(C) </w:t>
            </w:r>
            <w:r>
              <w:rPr>
                <w:sz w:val="18"/>
                <w:szCs w:val="18"/>
              </w:rPr>
              <w:t xml:space="preserve">100,000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(D) </w:t>
            </w:r>
            <w:r>
              <w:rPr>
                <w:sz w:val="18"/>
                <w:szCs w:val="18"/>
              </w:rPr>
              <w:t xml:space="preserve">109,521</w:t>
            </w:r>
          </w:p>
        </w:tc>
      </w:tr>
    </w:tbl>
    <w:p>
      <w:pPr>
        <w:spacing w:before="55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48.  </w:t>
      </w:r>
      <w:r>
        <w:rPr>
          <w:sz w:val="19"/>
          <w:szCs w:val="19"/>
        </w:rPr>
        <w:t xml:space="preserve">Use the panel above. Under IFRS with the revaluation model, where does the $600,000 increase in the land's value go?</w:t>
      </w:r>
    </w:p>
    <w:tbl>
      <w:tblPr>
        <w:tblW w:type="pct" w:w="100%"/>
        <w:tblInd w:type="dxa" w:w="300"/>
      </w:tblPr>
      <w:tblGrid>
        <w:gridCol w:w="50"/>
        <w:gridCol w:w="50"/>
      </w:tblGrid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(A) </w:t>
            </w:r>
            <w:r>
              <w:rPr>
                <w:sz w:val="18"/>
                <w:szCs w:val="18"/>
              </w:rPr>
              <w:t xml:space="preserve">To net income as a gain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(B) </w:t>
            </w:r>
            <w:r>
              <w:rPr>
                <w:sz w:val="18"/>
                <w:szCs w:val="18"/>
              </w:rPr>
              <w:t xml:space="preserve">Nowhere; land stays at cost</w:t>
            </w:r>
          </w:p>
        </w:tc>
      </w:tr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(C) </w:t>
            </w:r>
            <w:r>
              <w:rPr>
                <w:sz w:val="18"/>
                <w:szCs w:val="18"/>
              </w:rPr>
              <w:t xml:space="preserve">To retained earnings directly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(D) </w:t>
            </w:r>
            <w:r>
              <w:rPr>
                <w:sz w:val="18"/>
                <w:szCs w:val="18"/>
              </w:rPr>
              <w:t xml:space="preserve">To OCI, as a revaluation surplus</w:t>
            </w:r>
          </w:p>
        </w:tc>
      </w:tr>
    </w:tbl>
    <w:p/>
    <w:p>
      <w:pPr>
        <w:spacing w:before="120" w:after="55"/>
        <w:pBdr>
          <w:top w:val="single" w:sz="10" w:space="6" w:color="353A7C"/>
        </w:pBdr>
      </w:pPr>
      <w:r>
        <w:rPr>
          <w:b/>
          <w:bCs/>
          <w:color w:val="353A7C"/>
          <w:sz w:val="21"/>
          <w:szCs w:val="21"/>
        </w:rPr>
        <w:t xml:space="preserve">Exercise 10 · true or false   </w:t>
      </w:r>
      <w:r>
        <w:rPr>
          <w:b/>
          <w:bCs/>
          <w:sz w:val="19"/>
          <w:szCs w:val="19"/>
        </w:rPr>
        <w:t xml:space="preserve">Ring T or F for each statement.</w:t>
      </w:r>
    </w:p>
    <w:tbl>
      <w:tblPr>
        <w:tblW w:type="pct" w:w="100%"/>
        <w:tblBorders>
          <w:top w:val="single" w:color="DFE3EE" w:sz="4"/>
          <w:left w:val="single" w:color="DFE3EE" w:sz="4"/>
          <w:bottom w:val="single" w:color="DFE3EE" w:sz="4"/>
          <w:right w:val="single" w:color="DFE3EE" w:sz="4"/>
          <w:insideH w:val="single" w:color="DFE3EE" w:sz="4"/>
          <w:insideV w:val="single" w:color="DFE3EE" w:sz="4"/>
        </w:tblBorders>
      </w:tblPr>
      <w:tblGrid>
        <w:gridCol w:w="82"/>
        <w:gridCol w:w="18"/>
      </w:tblGrid>
      <w:tr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Statement</w:t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True or false?</w:t>
            </w:r>
          </w:p>
        </w:tc>
      </w:tr>
      <w:tr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49.  </w:t>
            </w:r>
            <w:r>
              <w:rPr>
                <w:sz w:val="18"/>
                <w:szCs w:val="18"/>
              </w:rPr>
              <w:t xml:space="preserve">IAS 19 remeasurements stay in equity.</w:t>
            </w:r>
          </w:p>
        </w:tc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pPr>
              <w:jc w:val="center"/>
            </w:pPr>
            <w:r>
              <w:rPr>
                <w:b/>
                <w:bCs/>
                <w:color w:val="6B7280"/>
                <w:sz w:val="18"/>
                <w:szCs w:val="18"/>
              </w:rPr>
              <w:t xml:space="preserve">T        F</w:t>
            </w:r>
          </w:p>
        </w:tc>
      </w:tr>
      <w:tr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50.  </w:t>
            </w:r>
            <w:r>
              <w:rPr>
                <w:sz w:val="18"/>
                <w:szCs w:val="18"/>
              </w:rPr>
              <w:t xml:space="preserve">may use LIFO if it also uses it for tax</w:t>
            </w:r>
          </w:p>
        </w:tc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pPr>
              <w:jc w:val="center"/>
            </w:pPr>
            <w:r>
              <w:rPr>
                <w:b/>
                <w:bCs/>
                <w:color w:val="6B7280"/>
                <w:sz w:val="18"/>
                <w:szCs w:val="18"/>
              </w:rPr>
              <w:t xml:space="preserve">T        F</w:t>
            </w:r>
          </w:p>
        </w:tc>
      </w:tr>
      <w:tr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51.  </w:t>
            </w:r>
            <w:r>
              <w:rPr>
                <w:sz w:val="18"/>
                <w:szCs w:val="18"/>
              </w:rPr>
              <w:t xml:space="preserve">Upward revaluations go to OCI under IAS 16.</w:t>
            </w:r>
          </w:p>
        </w:tc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pPr>
              <w:jc w:val="center"/>
            </w:pPr>
            <w:r>
              <w:rPr>
                <w:b/>
                <w:bCs/>
                <w:color w:val="6B7280"/>
                <w:sz w:val="18"/>
                <w:szCs w:val="18"/>
              </w:rPr>
              <w:t xml:space="preserve">T        F</w:t>
            </w:r>
          </w:p>
        </w:tc>
      </w:tr>
      <w:tr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52.  </w:t>
            </w:r>
            <w:r>
              <w:rPr>
                <w:sz w:val="18"/>
                <w:szCs w:val="18"/>
              </w:rPr>
              <w:t xml:space="preserve">IAS 36 prohibits reversal of goodwill impairment.</w:t>
            </w:r>
          </w:p>
        </w:tc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pPr>
              <w:jc w:val="center"/>
            </w:pPr>
            <w:r>
              <w:rPr>
                <w:b/>
                <w:bCs/>
                <w:color w:val="6B7280"/>
                <w:sz w:val="18"/>
                <w:szCs w:val="18"/>
              </w:rPr>
              <w:t xml:space="preserve">T        F</w:t>
            </w:r>
          </w:p>
        </w:tc>
      </w:tr>
      <w:tr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53.  </w:t>
            </w:r>
            <w:r>
              <w:rPr>
                <w:sz w:val="18"/>
                <w:szCs w:val="18"/>
              </w:rPr>
              <w:t xml:space="preserve">Interest at the discount rate on plan assets</w:t>
            </w:r>
          </w:p>
        </w:tc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pPr>
              <w:jc w:val="center"/>
            </w:pPr>
            <w:r>
              <w:rPr>
                <w:b/>
                <w:bCs/>
                <w:color w:val="6B7280"/>
                <w:sz w:val="18"/>
                <w:szCs w:val="18"/>
              </w:rPr>
              <w:t xml:space="preserve">T        F</w:t>
            </w:r>
          </w:p>
        </w:tc>
      </w:tr>
      <w:tr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54.  </w:t>
            </w:r>
            <w:r>
              <w:rPr>
                <w:sz w:val="18"/>
                <w:szCs w:val="18"/>
              </w:rPr>
              <w:t xml:space="preserve">Neither framework recognizes expense until vesting</w:t>
            </w:r>
          </w:p>
        </w:tc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pPr>
              <w:jc w:val="center"/>
            </w:pPr>
            <w:r>
              <w:rPr>
                <w:b/>
                <w:bCs/>
                <w:color w:val="6B7280"/>
                <w:sz w:val="18"/>
                <w:szCs w:val="18"/>
              </w:rPr>
              <w:t xml:space="preserve">T        F</w:t>
            </w:r>
          </w:p>
        </w:tc>
      </w:tr>
      <w:tr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55.  </w:t>
            </w:r>
            <w:r>
              <w:rPr>
                <w:sz w:val="18"/>
                <w:szCs w:val="18"/>
              </w:rPr>
              <w:t xml:space="preserve">They are reversed the next year</w:t>
            </w:r>
          </w:p>
        </w:tc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pPr>
              <w:jc w:val="center"/>
            </w:pPr>
            <w:r>
              <w:rPr>
                <w:b/>
                <w:bCs/>
                <w:color w:val="6B7280"/>
                <w:sz w:val="18"/>
                <w:szCs w:val="18"/>
              </w:rPr>
              <w:t xml:space="preserve">T        F</w:t>
            </w:r>
          </w:p>
        </w:tc>
      </w:tr>
    </w:tbl>
    <w:p/>
    <w:p>
      <w:pPr>
        <w:spacing w:before="150" w:after="60"/>
        <w:ind w:left="130" w:right="130"/>
        <w:shd w:fill="23265A" w:val="clear"/>
      </w:pPr>
      <w:r>
        <w:rPr>
          <w:b/>
          <w:bCs/>
          <w:color w:val="FFFFFF"/>
          <w:sz w:val="15"/>
          <w:szCs w:val="15"/>
        </w:rPr>
        <w:t xml:space="preserve">CHECK   </w:t>
      </w:r>
      <w:r>
        <w:rPr>
          <w:b/>
          <w:bCs/>
          <w:color w:val="FFFFFF"/>
          <w:sz w:val="17"/>
          <w:szCs w:val="17"/>
        </w:rPr>
        <w:t xml:space="preserve">Page 4</w:t>
      </w:r>
      <w:r>
        <w:rPr>
          <w:color w:val="FFFFFF"/>
          <w:sz w:val="15"/>
          <w:szCs w:val="15"/>
        </w:rPr>
        <w:t xml:space="preserve">   ·   items 46 to 55   ·   </w:t>
      </w:r>
      <w:r>
        <w:rPr>
          <w:color w:val="FFFFFF"/>
          <w:sz w:val="15"/>
          <w:szCs w:val="15"/>
        </w:rPr>
        <w:t xml:space="preserve">fewer than 7 right: </w:t>
      </w:r>
      <w:r>
        <w:rPr>
          <w:b/>
          <w:bCs/>
          <w:color w:val="FFFFFF"/>
          <w:sz w:val="15"/>
          <w:szCs w:val="15"/>
        </w:rPr>
        <w:t xml:space="preserve">redo page 4 before you leave the handout</w:t>
      </w:r>
    </w:p>
    <w:p>
      <w:pPr>
        <w:sectPr>
          <w:headerReference w:type="default" r:id="rIdHdr1"/>
          <w:pgSz w:w="11906" w:h="16838" w:orient="portrait"/>
          <w:pgMar w:top="1180" w:right="1000" w:bottom="900" w:left="1000" w:header="708" w:footer="708" w:gutter="0"/>
          <w:docGrid w:linePitch="360"/>
          <w:pgNumType w:start="1"/>
        </w:sectPr>
      </w:pPr>
    </w:p>
    <w:p>
      <w:pPr>
        <w:spacing w:after="20" w:before="60"/>
      </w:pPr>
      <w:r>
        <w:rPr>
          <w:b/>
          <w:bCs/>
          <w:color w:val="353A7C"/>
          <w:sz w:val="40"/>
          <w:szCs w:val="40"/>
        </w:rPr>
        <w:t xml:space="preserve">Handout 17.2 · The practice set</w:t>
      </w:r>
    </w:p>
    <w:p>
      <w:pPr>
        <w:spacing w:after="130"/>
      </w:pPr>
      <w:r>
        <w:rPr>
          <w:color w:val="6B7280"/>
          <w:sz w:val="20"/>
          <w:szCs w:val="20"/>
        </w:rPr>
        <w:t xml:space="preserve">CMA Part 1 · Section A · Chapter 17 · from section U.S. GAAP and IFRS: The Six Tested Differences of the book · 4 pages, answer key on a separate sheet</w:t>
      </w:r>
    </w:p>
    <w:p>
      <w:pPr>
        <w:spacing w:before="120" w:after="55"/>
        <w:pBdr>
          <w:top w:val="single" w:sz="10" w:space="6" w:color="353A7C"/>
        </w:pBdr>
      </w:pPr>
      <w:r>
        <w:rPr>
          <w:b/>
          <w:bCs/>
          <w:color w:val="353A7C"/>
          <w:sz w:val="21"/>
          <w:szCs w:val="21"/>
        </w:rPr>
        <w:t xml:space="preserve">Exercise 1 · matching   </w:t>
      </w:r>
      <w:r>
        <w:rPr>
          <w:b/>
          <w:bCs/>
          <w:sz w:val="19"/>
          <w:szCs w:val="19"/>
        </w:rPr>
        <w:t xml:space="preserve">Write the letter of the Arabic term beside each English one.</w:t>
      </w:r>
    </w:p>
    <w:tbl>
      <w:tblPr>
        <w:tblW w:type="pct" w:w="100%"/>
        <w:tblBorders>
          <w:top w:val="single" w:color="DFE3EE" w:sz="4"/>
          <w:left w:val="single" w:color="DFE3EE" w:sz="4"/>
          <w:bottom w:val="single" w:color="DFE3EE" w:sz="4"/>
          <w:right w:val="single" w:color="DFE3EE" w:sz="4"/>
          <w:insideH w:val="single" w:color="DFE3EE" w:sz="4"/>
          <w:insideV w:val="single" w:color="DFE3EE" w:sz="4"/>
        </w:tblBorders>
      </w:tblPr>
      <w:tblGrid>
        <w:gridCol w:w="4"/>
        <w:gridCol w:w="40"/>
        <w:gridCol w:w="7"/>
        <w:gridCol w:w="4"/>
        <w:gridCol w:w="45"/>
      </w:tblGrid>
      <w:tr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/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English (exam term)</w:t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/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/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العربية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1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graded vesting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A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الإهلاك حسب المكونات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2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defined benefit plan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B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الاستحقاق المتدرج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3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research and development (R&amp;D)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C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القيمة العادلة ناقصاً تكاليف الاستبعاد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4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net realizable value (NRV)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D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التكلفة أو صافي القيمة القابلة للتحقق، أيهما أقل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5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lower of cost and net realizable value (LCNRV)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E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خطة المنافع المحددة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6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component depreciation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F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اختبار قابلية الاسترداد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7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fair value less costs of disposal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G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البحث والتطوير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8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recoverability test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H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صافي القيمة القابلة للتحقق</w:t>
            </w:r>
          </w:p>
        </w:tc>
      </w:tr>
    </w:tbl>
    <w:p/>
    <w:p>
      <w:pPr>
        <w:spacing w:before="120" w:after="55"/>
        <w:pBdr>
          <w:top w:val="single" w:sz="10" w:space="6" w:color="353A7C"/>
        </w:pBdr>
      </w:pPr>
      <w:r>
        <w:rPr>
          <w:b/>
          <w:bCs/>
          <w:color w:val="353A7C"/>
          <w:sz w:val="21"/>
          <w:szCs w:val="21"/>
        </w:rPr>
        <w:t xml:space="preserve">Exercise 2 · multiple choice   </w:t>
      </w:r>
      <w:r>
        <w:rPr>
          <w:b/>
          <w:bCs/>
          <w:sz w:val="19"/>
          <w:szCs w:val="19"/>
        </w:rPr>
        <w:t xml:space="preserve">Ring one letter for each question.</w:t>
      </w:r>
    </w:p>
    <w:p>
      <w:pPr>
        <w:spacing w:before="55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9.  </w:t>
      </w:r>
      <w:r>
        <w:rPr>
          <w:sz w:val="19"/>
          <w:szCs w:val="19"/>
        </w:rPr>
        <w:t xml:space="preserve">Under IAS 19, what happens to actuarial losses recognized in OCI?</w:t>
      </w:r>
    </w:p>
    <w:tbl>
      <w:tblPr>
        <w:tblW w:type="pct" w:w="100%"/>
        <w:tblInd w:type="dxa" w:w="300"/>
      </w:tblPr>
      <w:tblGrid>
        <w:gridCol w:w="50"/>
        <w:gridCol w:w="50"/>
      </w:tblGrid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(A) </w:t>
            </w:r>
            <w:r>
              <w:rPr>
                <w:sz w:val="18"/>
                <w:szCs w:val="18"/>
              </w:rPr>
              <w:t xml:space="preserve">They are amortized into profit over future service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(B) </w:t>
            </w:r>
            <w:r>
              <w:rPr>
                <w:sz w:val="18"/>
                <w:szCs w:val="18"/>
              </w:rPr>
              <w:t xml:space="preserve">They are recognized in profit when the plan is settled</w:t>
            </w:r>
          </w:p>
        </w:tc>
      </w:tr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(C) </w:t>
            </w:r>
            <w:r>
              <w:rPr>
                <w:sz w:val="18"/>
                <w:szCs w:val="18"/>
              </w:rPr>
              <w:t xml:space="preserve">They are never reclassified to profit or loss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(D) </w:t>
            </w:r>
            <w:r>
              <w:rPr>
                <w:sz w:val="18"/>
                <w:szCs w:val="18"/>
              </w:rPr>
              <w:t xml:space="preserve">They are reversed the next year</w:t>
            </w:r>
          </w:p>
        </w:tc>
      </w:tr>
    </w:tbl>
    <w:p>
      <w:pPr>
        <w:spacing w:before="55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10.  </w:t>
      </w:r>
      <w:r>
        <w:rPr>
          <w:sz w:val="19"/>
          <w:szCs w:val="19"/>
        </w:rPr>
        <w:t xml:space="preserve">Under U.S. GAAP, which return on plan assets reduces pension cost?</w:t>
      </w:r>
    </w:p>
    <w:tbl>
      <w:tblPr>
        <w:tblW w:type="pct" w:w="100%"/>
        <w:tblInd w:type="dxa" w:w="300"/>
      </w:tblPr>
      <w:tblGrid>
        <w:gridCol w:w="50"/>
        <w:gridCol w:w="50"/>
      </w:tblGrid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(A) </w:t>
            </w:r>
            <w:r>
              <w:rPr>
                <w:sz w:val="18"/>
                <w:szCs w:val="18"/>
              </w:rPr>
              <w:t xml:space="preserve">Interest at the discount rate on plan assets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(B) </w:t>
            </w:r>
            <w:r>
              <w:rPr>
                <w:sz w:val="18"/>
                <w:szCs w:val="18"/>
              </w:rPr>
              <w:t xml:space="preserve">The actual return</w:t>
            </w:r>
          </w:p>
        </w:tc>
      </w:tr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(C) </w:t>
            </w:r>
            <w:r>
              <w:rPr>
                <w:sz w:val="18"/>
                <w:szCs w:val="18"/>
              </w:rPr>
              <w:t xml:space="preserve">No return is used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(D) </w:t>
            </w:r>
            <w:r>
              <w:rPr>
                <w:sz w:val="18"/>
                <w:szCs w:val="18"/>
              </w:rPr>
              <w:t xml:space="preserve">The expected return on plan assets</w:t>
            </w:r>
          </w:p>
        </w:tc>
      </w:tr>
    </w:tbl>
    <w:p>
      <w:pPr>
        <w:spacing w:before="55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11.  </w:t>
      </w:r>
      <w:r>
        <w:rPr>
          <w:sz w:val="19"/>
          <w:szCs w:val="19"/>
        </w:rPr>
        <w:t xml:space="preserve">Employer payroll taxes on stock options: when does a U.S. company recognize the liability?</w:t>
      </w:r>
    </w:p>
    <w:tbl>
      <w:tblPr>
        <w:tblW w:type="pct" w:w="100%"/>
        <w:tblInd w:type="dxa" w:w="300"/>
      </w:tblPr>
      <w:tblGrid>
        <w:gridCol w:w="50"/>
        <w:gridCol w:w="50"/>
      </w:tblGrid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(A) </w:t>
            </w:r>
            <w:r>
              <w:rPr>
                <w:sz w:val="18"/>
                <w:szCs w:val="18"/>
              </w:rPr>
              <w:t xml:space="preserve">Evenly over the vesting period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(B) </w:t>
            </w:r>
            <w:r>
              <w:rPr>
                <w:sz w:val="18"/>
                <w:szCs w:val="18"/>
              </w:rPr>
              <w:t xml:space="preserve">When the tax obligation arises, usually at exercise or vesting</w:t>
            </w:r>
          </w:p>
        </w:tc>
      </w:tr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(C) </w:t>
            </w:r>
            <w:r>
              <w:rPr>
                <w:sz w:val="18"/>
                <w:szCs w:val="18"/>
              </w:rPr>
              <w:t xml:space="preserve">At grant date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(D) </w:t>
            </w:r>
            <w:r>
              <w:rPr>
                <w:sz w:val="18"/>
                <w:szCs w:val="18"/>
              </w:rPr>
              <w:t xml:space="preserve">Never; it is an employee cost</w:t>
            </w:r>
          </w:p>
        </w:tc>
      </w:tr>
    </w:tbl>
    <w:p>
      <w:pPr>
        <w:spacing w:before="55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12.  </w:t>
      </w:r>
      <w:r>
        <w:rPr>
          <w:sz w:val="19"/>
          <w:szCs w:val="19"/>
        </w:rPr>
        <w:t xml:space="preserve">Which intangible is recognized under BOTH frameworks?</w:t>
      </w:r>
    </w:p>
    <w:tbl>
      <w:tblPr>
        <w:tblW w:type="pct" w:w="100%"/>
        <w:tblInd w:type="dxa" w:w="300"/>
      </w:tblPr>
      <w:tblGrid>
        <w:gridCol w:w="50"/>
        <w:gridCol w:w="50"/>
      </w:tblGrid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(A) </w:t>
            </w:r>
            <w:r>
              <w:rPr>
                <w:sz w:val="18"/>
                <w:szCs w:val="18"/>
              </w:rPr>
              <w:t xml:space="preserve">A patent bought from another company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(B) </w:t>
            </w:r>
            <w:r>
              <w:rPr>
                <w:sz w:val="18"/>
                <w:szCs w:val="18"/>
              </w:rPr>
              <w:t xml:space="preserve">An internally generated brand</w:t>
            </w:r>
          </w:p>
        </w:tc>
      </w:tr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(C) </w:t>
            </w:r>
            <w:r>
              <w:rPr>
                <w:sz w:val="18"/>
                <w:szCs w:val="18"/>
              </w:rPr>
              <w:t xml:space="preserve">Development costs of a new recipe under U.S. GAAP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(D) </w:t>
            </w:r>
            <w:r>
              <w:rPr>
                <w:sz w:val="18"/>
                <w:szCs w:val="18"/>
              </w:rPr>
              <w:t xml:space="preserve">An internally built customer list</w:t>
            </w:r>
          </w:p>
        </w:tc>
      </w:tr>
    </w:tbl>
    <w:p>
      <w:pPr>
        <w:spacing w:before="55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13.  </w:t>
      </w:r>
      <w:r>
        <w:rPr>
          <w:sz w:val="19"/>
          <w:szCs w:val="19"/>
        </w:rPr>
        <w:t xml:space="preserve">Orontes, an SEC registrant, wants to amortize its goodwill over 10 years. It:</w:t>
      </w:r>
    </w:p>
    <w:tbl>
      <w:tblPr>
        <w:tblW w:type="pct" w:w="100%"/>
        <w:tblInd w:type="dxa" w:w="300"/>
      </w:tblPr>
      <w:tblGrid>
        <w:gridCol w:w="50"/>
        <w:gridCol w:w="50"/>
      </w:tblGrid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(A) </w:t>
            </w:r>
            <w:r>
              <w:rPr>
                <w:sz w:val="18"/>
                <w:szCs w:val="18"/>
              </w:rPr>
              <w:t xml:space="preserve">may, using the private-company alternative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(B) </w:t>
            </w:r>
            <w:r>
              <w:rPr>
                <w:sz w:val="18"/>
                <w:szCs w:val="18"/>
              </w:rPr>
              <w:t xml:space="preserve">must amortize over 40 years</w:t>
            </w:r>
          </w:p>
        </w:tc>
      </w:tr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(C) </w:t>
            </w:r>
            <w:r>
              <w:rPr>
                <w:sz w:val="18"/>
                <w:szCs w:val="18"/>
              </w:rPr>
              <w:t xml:space="preserve">may, if IFRS allows it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(D) </w:t>
            </w:r>
            <w:r>
              <w:rPr>
                <w:sz w:val="18"/>
                <w:szCs w:val="18"/>
              </w:rPr>
              <w:t xml:space="preserve">may not; only private companies can elect goodwill amortization</w:t>
            </w:r>
          </w:p>
        </w:tc>
      </w:tr>
    </w:tbl>
    <w:p>
      <w:pPr>
        <w:spacing w:before="55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14.  </w:t>
      </w:r>
      <w:r>
        <w:rPr>
          <w:sz w:val="19"/>
          <w:szCs w:val="19"/>
        </w:rPr>
        <w:t xml:space="preserve">Inventory with a cost of $80,000 was written down to $70,000. NRV then rises to $85,000. What is the carrying amount under IFRS?</w:t>
      </w:r>
    </w:p>
    <w:tbl>
      <w:tblPr>
        <w:tblW w:type="pct" w:w="100%"/>
        <w:tblInd w:type="dxa" w:w="300"/>
      </w:tblPr>
      <w:tblGrid>
        <w:gridCol w:w="50"/>
        <w:gridCol w:w="50"/>
      </w:tblGrid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(A) </w:t>
            </w:r>
            <w:r>
              <w:rPr>
                <w:sz w:val="18"/>
                <w:szCs w:val="18"/>
              </w:rPr>
              <w:t xml:space="preserve">$70,000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(B) </w:t>
            </w:r>
            <w:r>
              <w:rPr>
                <w:sz w:val="18"/>
                <w:szCs w:val="18"/>
              </w:rPr>
              <w:t xml:space="preserve">$75,000</w:t>
            </w:r>
          </w:p>
        </w:tc>
      </w:tr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(C) </w:t>
            </w:r>
            <w:r>
              <w:rPr>
                <w:sz w:val="18"/>
                <w:szCs w:val="18"/>
              </w:rPr>
              <w:t xml:space="preserve">$80,000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(D) </w:t>
            </w:r>
            <w:r>
              <w:rPr>
                <w:sz w:val="18"/>
                <w:szCs w:val="18"/>
              </w:rPr>
              <w:t xml:space="preserve">$85,000</w:t>
            </w:r>
          </w:p>
        </w:tc>
      </w:tr>
    </w:tbl>
    <w:p/>
    <w:p>
      <w:pPr>
        <w:spacing w:before="150" w:after="60"/>
        <w:ind w:left="130" w:right="130"/>
        <w:shd w:fill="23265A" w:val="clear"/>
      </w:pPr>
      <w:r>
        <w:rPr>
          <w:b/>
          <w:bCs/>
          <w:color w:val="FFFFFF"/>
          <w:sz w:val="15"/>
          <w:szCs w:val="15"/>
        </w:rPr>
        <w:t xml:space="preserve">CHECK   </w:t>
      </w:r>
      <w:r>
        <w:rPr>
          <w:b/>
          <w:bCs/>
          <w:color w:val="FFFFFF"/>
          <w:sz w:val="17"/>
          <w:szCs w:val="17"/>
        </w:rPr>
        <w:t xml:space="preserve">Page 1</w:t>
      </w:r>
      <w:r>
        <w:rPr>
          <w:color w:val="FFFFFF"/>
          <w:sz w:val="15"/>
          <w:szCs w:val="15"/>
        </w:rPr>
        <w:t xml:space="preserve">   ·   items 1 to 14   ·   </w:t>
      </w:r>
      <w:r>
        <w:rPr>
          <w:color w:val="FFFFFF"/>
          <w:sz w:val="15"/>
          <w:szCs w:val="15"/>
        </w:rPr>
        <w:t xml:space="preserve">fewer than 10 right: </w:t>
      </w:r>
      <w:r>
        <w:rPr>
          <w:b/>
          <w:bCs/>
          <w:color w:val="FFFFFF"/>
          <w:sz w:val="15"/>
          <w:szCs w:val="15"/>
        </w:rPr>
        <w:t xml:space="preserve">read section 17.1 again before page 2</w:t>
      </w:r>
    </w:p>
    <w:p>
      <w:pPr>
        <w:spacing w:after="0"/>
        <w:pageBreakBefore w:val="true"/>
      </w:pPr>
      <w:r>
        <w:rPr>
          <w:sz w:val="2"/>
          <w:szCs w:val="2"/>
        </w:rPr>
        <w:t xml:space="preserve"> </w:t>
      </w:r>
    </w:p>
    <w:p>
      <w:pPr>
        <w:spacing w:before="120" w:after="55"/>
        <w:pBdr>
          <w:top w:val="single" w:sz="10" w:space="6" w:color="353A7C"/>
        </w:pBdr>
      </w:pPr>
      <w:r>
        <w:rPr>
          <w:b/>
          <w:bCs/>
          <w:color w:val="353A7C"/>
          <w:sz w:val="21"/>
          <w:szCs w:val="21"/>
        </w:rPr>
        <w:t xml:space="preserve">Exercise 3 · true or false   </w:t>
      </w:r>
      <w:r>
        <w:rPr>
          <w:b/>
          <w:bCs/>
          <w:sz w:val="19"/>
          <w:szCs w:val="19"/>
        </w:rPr>
        <w:t xml:space="preserve">Ring T or F for each statement.</w:t>
      </w:r>
    </w:p>
    <w:tbl>
      <w:tblPr>
        <w:tblW w:type="pct" w:w="100%"/>
        <w:tblBorders>
          <w:top w:val="single" w:color="DFE3EE" w:sz="4"/>
          <w:left w:val="single" w:color="DFE3EE" w:sz="4"/>
          <w:bottom w:val="single" w:color="DFE3EE" w:sz="4"/>
          <w:right w:val="single" w:color="DFE3EE" w:sz="4"/>
          <w:insideH w:val="single" w:color="DFE3EE" w:sz="4"/>
          <w:insideV w:val="single" w:color="DFE3EE" w:sz="4"/>
        </w:tblBorders>
      </w:tblPr>
      <w:tblGrid>
        <w:gridCol w:w="82"/>
        <w:gridCol w:w="18"/>
      </w:tblGrid>
      <w:tr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Statement</w:t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True or false?</w:t>
            </w:r>
          </w:p>
        </w:tc>
      </w:tr>
      <w:tr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15.  </w:t>
            </w:r>
            <w:r>
              <w:rPr>
                <w:sz w:val="18"/>
                <w:szCs w:val="18"/>
              </w:rPr>
              <w:t xml:space="preserve">Acquired intangibles are recognized under both.</w:t>
            </w:r>
          </w:p>
        </w:tc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pPr>
              <w:jc w:val="center"/>
            </w:pPr>
            <w:r>
              <w:rPr>
                <w:b/>
                <w:bCs/>
                <w:color w:val="6B7280"/>
                <w:sz w:val="18"/>
                <w:szCs w:val="18"/>
              </w:rPr>
              <w:t xml:space="preserve">T        F</w:t>
            </w:r>
          </w:p>
        </w:tc>
      </w:tr>
      <w:tr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16.  </w:t>
            </w:r>
            <w:r>
              <w:rPr>
                <w:sz w:val="18"/>
                <w:szCs w:val="18"/>
              </w:rPr>
              <w:t xml:space="preserve">Development costs of a new recipe under U.S. GAAP</w:t>
            </w:r>
          </w:p>
        </w:tc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pPr>
              <w:jc w:val="center"/>
            </w:pPr>
            <w:r>
              <w:rPr>
                <w:b/>
                <w:bCs/>
                <w:color w:val="6B7280"/>
                <w:sz w:val="18"/>
                <w:szCs w:val="18"/>
              </w:rPr>
              <w:t xml:space="preserve">T        F</w:t>
            </w:r>
          </w:p>
        </w:tc>
      </w:tr>
      <w:tr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17.  </w:t>
            </w:r>
            <w:r>
              <w:rPr>
                <w:sz w:val="18"/>
                <w:szCs w:val="18"/>
              </w:rPr>
              <w:t xml:space="preserve">U.S. GAAP requires component depreciation; IFRS does not</w:t>
            </w:r>
          </w:p>
        </w:tc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pPr>
              <w:jc w:val="center"/>
            </w:pPr>
            <w:r>
              <w:rPr>
                <w:b/>
                <w:bCs/>
                <w:color w:val="6B7280"/>
                <w:sz w:val="18"/>
                <w:szCs w:val="18"/>
              </w:rPr>
              <w:t xml:space="preserve">T        F</w:t>
            </w:r>
          </w:p>
        </w:tc>
      </w:tr>
      <w:tr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18.  </w:t>
            </w:r>
            <w:r>
              <w:rPr>
                <w:sz w:val="18"/>
                <w:szCs w:val="18"/>
              </w:rPr>
              <w:t xml:space="preserve">IAS 19 expenses it at once; U.S. GAAP amortizes it from OCI.</w:t>
            </w:r>
          </w:p>
        </w:tc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pPr>
              <w:jc w:val="center"/>
            </w:pPr>
            <w:r>
              <w:rPr>
                <w:b/>
                <w:bCs/>
                <w:color w:val="6B7280"/>
                <w:sz w:val="18"/>
                <w:szCs w:val="18"/>
              </w:rPr>
              <w:t xml:space="preserve">T        F</w:t>
            </w:r>
          </w:p>
        </w:tc>
      </w:tr>
      <w:tr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19.  </w:t>
            </w:r>
            <w:r>
              <w:rPr>
                <w:sz w:val="18"/>
                <w:szCs w:val="18"/>
              </w:rPr>
              <w:t xml:space="preserve">IAS 38 allows revaluation only with an active market; U.S. GAAP prohibits it.</w:t>
            </w:r>
          </w:p>
        </w:tc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pPr>
              <w:jc w:val="center"/>
            </w:pPr>
            <w:r>
              <w:rPr>
                <w:b/>
                <w:bCs/>
                <w:color w:val="6B7280"/>
                <w:sz w:val="18"/>
                <w:szCs w:val="18"/>
              </w:rPr>
              <w:t xml:space="preserve">T        F</w:t>
            </w:r>
          </w:p>
        </w:tc>
      </w:tr>
      <w:tr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20.  </w:t>
            </w:r>
            <w:r>
              <w:rPr>
                <w:sz w:val="18"/>
                <w:szCs w:val="18"/>
              </w:rPr>
              <w:t xml:space="preserve">expenses the increase with no remeasurement</w:t>
            </w:r>
          </w:p>
        </w:tc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pPr>
              <w:jc w:val="center"/>
            </w:pPr>
            <w:r>
              <w:rPr>
                <w:b/>
                <w:bCs/>
                <w:color w:val="6B7280"/>
                <w:sz w:val="18"/>
                <w:szCs w:val="18"/>
              </w:rPr>
              <w:t xml:space="preserve">T        F</w:t>
            </w:r>
          </w:p>
        </w:tc>
      </w:tr>
      <w:tr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21.  </w:t>
            </w:r>
            <w:r>
              <w:rPr>
                <w:sz w:val="18"/>
                <w:szCs w:val="18"/>
              </w:rPr>
              <w:t xml:space="preserve">IAS 40 offers a fair value or cost model; U.S. GAAP has no such category.</w:t>
            </w:r>
          </w:p>
        </w:tc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pPr>
              <w:jc w:val="center"/>
            </w:pPr>
            <w:r>
              <w:rPr>
                <w:b/>
                <w:bCs/>
                <w:color w:val="6B7280"/>
                <w:sz w:val="18"/>
                <w:szCs w:val="18"/>
              </w:rPr>
              <w:t xml:space="preserve">T        F</w:t>
            </w:r>
          </w:p>
        </w:tc>
      </w:tr>
    </w:tbl>
    <w:p/>
    <w:p>
      <w:pPr>
        <w:spacing w:before="120" w:after="55"/>
        <w:pBdr>
          <w:top w:val="single" w:sz="10" w:space="6" w:color="353A7C"/>
        </w:pBdr>
      </w:pPr>
      <w:r>
        <w:rPr>
          <w:b/>
          <w:bCs/>
          <w:color w:val="353A7C"/>
          <w:sz w:val="21"/>
          <w:szCs w:val="21"/>
        </w:rPr>
        <w:t xml:space="preserve">Exercise 4 · matching   </w:t>
      </w:r>
      <w:r>
        <w:rPr>
          <w:b/>
          <w:bCs/>
          <w:sz w:val="19"/>
          <w:szCs w:val="19"/>
        </w:rPr>
        <w:t xml:space="preserve">Write the letter of the Arabic term beside each English one.</w:t>
      </w:r>
    </w:p>
    <w:tbl>
      <w:tblPr>
        <w:tblW w:type="pct" w:w="100%"/>
        <w:tblBorders>
          <w:top w:val="single" w:color="DFE3EE" w:sz="4"/>
          <w:left w:val="single" w:color="DFE3EE" w:sz="4"/>
          <w:bottom w:val="single" w:color="DFE3EE" w:sz="4"/>
          <w:right w:val="single" w:color="DFE3EE" w:sz="4"/>
          <w:insideH w:val="single" w:color="DFE3EE" w:sz="4"/>
          <w:insideV w:val="single" w:color="DFE3EE" w:sz="4"/>
        </w:tblBorders>
      </w:tblPr>
      <w:tblGrid>
        <w:gridCol w:w="4"/>
        <w:gridCol w:w="40"/>
        <w:gridCol w:w="7"/>
        <w:gridCol w:w="4"/>
        <w:gridCol w:w="45"/>
      </w:tblGrid>
      <w:tr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/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English (exam term)</w:t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/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/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العربية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1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revaluation model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A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تكلفة الخدمة السابقة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2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revaluation surplus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B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إعادة القياس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3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development costs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C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تكاليف التطوير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4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value in use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D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المبلغ القابل للاسترداد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5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recoverable amount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E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نموذج إعادة التقييم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6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cash-generating unit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F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القيمة من الاستخدام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7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prior service cost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G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فائض إعادة التقييم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8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remeasurements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H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وحدة توليد النقد</w:t>
            </w:r>
          </w:p>
        </w:tc>
      </w:tr>
    </w:tbl>
    <w:p/>
    <w:p>
      <w:pPr>
        <w:spacing w:before="150" w:after="60"/>
        <w:ind w:left="130" w:right="130"/>
        <w:shd w:fill="23265A" w:val="clear"/>
      </w:pPr>
      <w:r>
        <w:rPr>
          <w:b/>
          <w:bCs/>
          <w:color w:val="FFFFFF"/>
          <w:sz w:val="15"/>
          <w:szCs w:val="15"/>
        </w:rPr>
        <w:t xml:space="preserve">CHECK   </w:t>
      </w:r>
      <w:r>
        <w:rPr>
          <w:b/>
          <w:bCs/>
          <w:color w:val="FFFFFF"/>
          <w:sz w:val="17"/>
          <w:szCs w:val="17"/>
        </w:rPr>
        <w:t xml:space="preserve">Page 2</w:t>
      </w:r>
      <w:r>
        <w:rPr>
          <w:color w:val="FFFFFF"/>
          <w:sz w:val="15"/>
          <w:szCs w:val="15"/>
        </w:rPr>
        <w:t xml:space="preserve">   ·   items 15 to 29   ·   </w:t>
      </w:r>
      <w:r>
        <w:rPr>
          <w:color w:val="FFFFFF"/>
          <w:sz w:val="15"/>
          <w:szCs w:val="15"/>
        </w:rPr>
        <w:t xml:space="preserve">fewer than 11 right: </w:t>
      </w:r>
      <w:r>
        <w:rPr>
          <w:b/>
          <w:bCs/>
          <w:color w:val="FFFFFF"/>
          <w:sz w:val="15"/>
          <w:szCs w:val="15"/>
        </w:rPr>
        <w:t xml:space="preserve">redo page 2 before page 3</w:t>
      </w:r>
    </w:p>
    <w:p>
      <w:pPr>
        <w:spacing w:after="0"/>
        <w:pageBreakBefore w:val="true"/>
      </w:pPr>
      <w:r>
        <w:rPr>
          <w:sz w:val="2"/>
          <w:szCs w:val="2"/>
        </w:rPr>
        <w:t xml:space="preserve"> </w:t>
      </w:r>
    </w:p>
    <w:p>
      <w:pPr>
        <w:spacing w:before="120" w:after="55"/>
        <w:pBdr>
          <w:top w:val="single" w:sz="10" w:space="6" w:color="353A7C"/>
        </w:pBdr>
      </w:pPr>
      <w:r>
        <w:rPr>
          <w:b/>
          <w:bCs/>
          <w:color w:val="353A7C"/>
          <w:sz w:val="21"/>
          <w:szCs w:val="21"/>
        </w:rPr>
        <w:t xml:space="preserve">Exercise 5 · multiple choice   </w:t>
      </w:r>
      <w:r>
        <w:rPr>
          <w:b/>
          <w:bCs/>
          <w:sz w:val="19"/>
          <w:szCs w:val="19"/>
        </w:rPr>
        <w:t xml:space="preserve">Ring one letter for each question.</w:t>
      </w:r>
    </w:p>
    <w:p>
      <w:pPr>
        <w:spacing w:before="55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30.  </w:t>
      </w:r>
      <w:r>
        <w:rPr>
          <w:sz w:val="19"/>
          <w:szCs w:val="19"/>
        </w:rPr>
        <w:t xml:space="preserve">A U.S. company uses LIFO. Which valuation rule applies at year-end?</w:t>
      </w:r>
    </w:p>
    <w:tbl>
      <w:tblPr>
        <w:tblW w:type="pct" w:w="100%"/>
        <w:tblInd w:type="dxa" w:w="300"/>
      </w:tblPr>
      <w:tblGrid>
        <w:gridCol w:w="50"/>
        <w:gridCol w:w="50"/>
      </w:tblGrid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(A) </w:t>
            </w:r>
            <w:r>
              <w:rPr>
                <w:sz w:val="18"/>
                <w:szCs w:val="18"/>
              </w:rPr>
              <w:t xml:space="preserve">Lower of cost or market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(B) </w:t>
            </w:r>
            <w:r>
              <w:rPr>
                <w:sz w:val="18"/>
                <w:szCs w:val="18"/>
              </w:rPr>
              <w:t xml:space="preserve">Lower of cost and net realizable value</w:t>
            </w:r>
          </w:p>
        </w:tc>
      </w:tr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(C) </w:t>
            </w:r>
            <w:r>
              <w:rPr>
                <w:sz w:val="18"/>
                <w:szCs w:val="18"/>
              </w:rPr>
              <w:t xml:space="preserve">Fair value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(D) </w:t>
            </w:r>
            <w:r>
              <w:rPr>
                <w:sz w:val="18"/>
                <w:szCs w:val="18"/>
              </w:rPr>
              <w:t xml:space="preserve">Replacement cost always</w:t>
            </w:r>
          </w:p>
        </w:tc>
      </w:tr>
    </w:tbl>
    <w:p>
      <w:pPr>
        <w:spacing w:before="55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31.  </w:t>
      </w:r>
      <w:r>
        <w:rPr>
          <w:sz w:val="19"/>
          <w:szCs w:val="19"/>
        </w:rPr>
        <w:t xml:space="preserve">A lessee's payments rise each year with the CPI. After a CPI increase, under IFRS 16 the lessee:</w:t>
      </w:r>
    </w:p>
    <w:tbl>
      <w:tblPr>
        <w:tblW w:type="pct" w:w="100%"/>
        <w:tblInd w:type="dxa" w:w="300"/>
      </w:tblPr>
      <w:tblGrid>
        <w:gridCol w:w="50"/>
        <w:gridCol w:w="50"/>
      </w:tblGrid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(A) </w:t>
            </w:r>
            <w:r>
              <w:rPr>
                <w:sz w:val="18"/>
                <w:szCs w:val="18"/>
              </w:rPr>
              <w:t xml:space="preserve">expenses the increase with no remeasurement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(B) </w:t>
            </w:r>
            <w:r>
              <w:rPr>
                <w:sz w:val="18"/>
                <w:szCs w:val="18"/>
              </w:rPr>
              <w:t xml:space="preserve">remeasures the lease liability</w:t>
            </w:r>
          </w:p>
        </w:tc>
      </w:tr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(C) </w:t>
            </w:r>
            <w:r>
              <w:rPr>
                <w:sz w:val="18"/>
                <w:szCs w:val="18"/>
              </w:rPr>
              <w:t xml:space="preserve">reclassifies the lease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(D) </w:t>
            </w:r>
            <w:r>
              <w:rPr>
                <w:sz w:val="18"/>
                <w:szCs w:val="18"/>
              </w:rPr>
              <w:t xml:space="preserve">records a gain</w:t>
            </w:r>
          </w:p>
        </w:tc>
      </w:tr>
    </w:tbl>
    <w:p>
      <w:pPr>
        <w:spacing w:before="55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32.  </w:t>
      </w:r>
      <w:r>
        <w:rPr>
          <w:sz w:val="19"/>
          <w:szCs w:val="19"/>
        </w:rPr>
        <w:t xml:space="preserve">Over the whole life of a lease, compared with IFRS 16, a U.S. operating lease gives:</w:t>
      </w:r>
    </w:p>
    <w:tbl>
      <w:tblPr>
        <w:tblW w:type="pct" w:w="100%"/>
        <w:tblInd w:type="dxa" w:w="300"/>
      </w:tblPr>
      <w:tblGrid>
        <w:gridCol w:w="50"/>
        <w:gridCol w:w="50"/>
      </w:tblGrid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(A) </w:t>
            </w:r>
            <w:r>
              <w:rPr>
                <w:sz w:val="18"/>
                <w:szCs w:val="18"/>
              </w:rPr>
              <w:t xml:space="preserve">a lower total expense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(B) </w:t>
            </w:r>
            <w:r>
              <w:rPr>
                <w:sz w:val="18"/>
                <w:szCs w:val="18"/>
              </w:rPr>
              <w:t xml:space="preserve">the same total expense, spread evenly instead of front-loaded</w:t>
            </w:r>
          </w:p>
        </w:tc>
      </w:tr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(C) </w:t>
            </w:r>
            <w:r>
              <w:rPr>
                <w:sz w:val="18"/>
                <w:szCs w:val="18"/>
              </w:rPr>
              <w:t xml:space="preserve">a higher total expense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(D) </w:t>
            </w:r>
            <w:r>
              <w:rPr>
                <w:sz w:val="18"/>
                <w:szCs w:val="18"/>
              </w:rPr>
              <w:t xml:space="preserve">no expense until the lease ends</w:t>
            </w:r>
          </w:p>
        </w:tc>
      </w:tr>
    </w:tbl>
    <w:p>
      <w:pPr>
        <w:spacing w:before="55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33.  </w:t>
      </w:r>
      <w:r>
        <w:rPr>
          <w:sz w:val="19"/>
          <w:szCs w:val="19"/>
        </w:rPr>
        <w:t xml:space="preserve">Under IFRS, a company borrows specifically to build a plant and earns interest on unspent funds. The capitalized borrowing cost is:</w:t>
      </w:r>
    </w:p>
    <w:tbl>
      <w:tblPr>
        <w:tblW w:type="pct" w:w="100%"/>
        <w:tblInd w:type="dxa" w:w="300"/>
      </w:tblPr>
      <w:tblGrid>
        <w:gridCol w:w="50"/>
        <w:gridCol w:w="50"/>
      </w:tblGrid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(A) </w:t>
            </w:r>
            <w:r>
              <w:rPr>
                <w:sz w:val="18"/>
                <w:szCs w:val="18"/>
              </w:rPr>
              <w:t xml:space="preserve">interest incurred, with no deduction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(B) </w:t>
            </w:r>
            <w:r>
              <w:rPr>
                <w:sz w:val="18"/>
                <w:szCs w:val="18"/>
              </w:rPr>
              <w:t xml:space="preserve">zero</w:t>
            </w:r>
          </w:p>
        </w:tc>
      </w:tr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(C) </w:t>
            </w:r>
            <w:r>
              <w:rPr>
                <w:sz w:val="18"/>
                <w:szCs w:val="18"/>
              </w:rPr>
              <w:t xml:space="preserve">interest incurred minus the investment income earned on the borrowed funds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(D) </w:t>
            </w:r>
            <w:r>
              <w:rPr>
                <w:sz w:val="18"/>
                <w:szCs w:val="18"/>
              </w:rPr>
              <w:t xml:space="preserve">investment income only</w:t>
            </w:r>
          </w:p>
        </w:tc>
      </w:tr>
    </w:tbl>
    <w:p>
      <w:pPr>
        <w:spacing w:before="55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34.  </w:t>
      </w:r>
      <w:r>
        <w:rPr>
          <w:sz w:val="19"/>
          <w:szCs w:val="19"/>
        </w:rPr>
        <w:t xml:space="preserve">An IFRS company holds an office building to earn rent. It may measure the building:</w:t>
      </w:r>
    </w:p>
    <w:tbl>
      <w:tblPr>
        <w:tblW w:type="pct" w:w="100%"/>
        <w:tblInd w:type="dxa" w:w="300"/>
      </w:tblPr>
      <w:tblGrid>
        <w:gridCol w:w="50"/>
        <w:gridCol w:w="50"/>
      </w:tblGrid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(A) </w:t>
            </w:r>
            <w:r>
              <w:rPr>
                <w:sz w:val="18"/>
                <w:szCs w:val="18"/>
              </w:rPr>
              <w:t xml:space="preserve">only at cost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(B) </w:t>
            </w:r>
            <w:r>
              <w:rPr>
                <w:sz w:val="18"/>
                <w:szCs w:val="18"/>
              </w:rPr>
              <w:t xml:space="preserve">only at fair value through OCI</w:t>
            </w:r>
          </w:p>
        </w:tc>
      </w:tr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(C) </w:t>
            </w:r>
            <w:r>
              <w:rPr>
                <w:sz w:val="18"/>
                <w:szCs w:val="18"/>
              </w:rPr>
              <w:t xml:space="preserve">at replacement cost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(D) </w:t>
            </w:r>
            <w:r>
              <w:rPr>
                <w:sz w:val="18"/>
                <w:szCs w:val="18"/>
              </w:rPr>
              <w:t xml:space="preserve">at fair value through profit or loss, or at cost (IAS 40)</w:t>
            </w:r>
          </w:p>
        </w:tc>
      </w:tr>
    </w:tbl>
    <w:p>
      <w:pPr>
        <w:spacing w:before="55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35.  </w:t>
      </w:r>
      <w:r>
        <w:rPr>
          <w:sz w:val="19"/>
          <w:szCs w:val="19"/>
        </w:rPr>
        <w:t xml:space="preserve">Under U.S. GAAP, which measure is compared with the carrying amount in the first step of an impairment test for a held-and-used asset group?</w:t>
      </w:r>
    </w:p>
    <w:tbl>
      <w:tblPr>
        <w:tblW w:type="pct" w:w="100%"/>
        <w:tblInd w:type="dxa" w:w="300"/>
      </w:tblPr>
      <w:tblGrid>
        <w:gridCol w:w="50"/>
        <w:gridCol w:w="50"/>
      </w:tblGrid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(A) </w:t>
            </w:r>
            <w:r>
              <w:rPr>
                <w:sz w:val="18"/>
                <w:szCs w:val="18"/>
              </w:rPr>
              <w:t xml:space="preserve">Undiscounted future cash flows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(B) </w:t>
            </w:r>
            <w:r>
              <w:rPr>
                <w:sz w:val="18"/>
                <w:szCs w:val="18"/>
              </w:rPr>
              <w:t xml:space="preserve">Value in use</w:t>
            </w:r>
          </w:p>
        </w:tc>
      </w:tr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(C) </w:t>
            </w:r>
            <w:r>
              <w:rPr>
                <w:sz w:val="18"/>
                <w:szCs w:val="18"/>
              </w:rPr>
              <w:t xml:space="preserve">Recoverable amount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(D) </w:t>
            </w:r>
            <w:r>
              <w:rPr>
                <w:sz w:val="18"/>
                <w:szCs w:val="18"/>
              </w:rPr>
              <w:t xml:space="preserve">Fair value</w:t>
            </w:r>
          </w:p>
        </w:tc>
      </w:tr>
    </w:tbl>
    <w:p/>
    <w:p>
      <w:pPr>
        <w:spacing w:before="120" w:after="55"/>
        <w:pBdr>
          <w:top w:val="single" w:sz="10" w:space="6" w:color="353A7C"/>
        </w:pBdr>
      </w:pPr>
      <w:r>
        <w:rPr>
          <w:b/>
          <w:bCs/>
          <w:color w:val="353A7C"/>
          <w:sz w:val="21"/>
          <w:szCs w:val="21"/>
        </w:rPr>
        <w:t xml:space="preserve">Exercise 6 · matching   </w:t>
      </w:r>
      <w:r>
        <w:rPr>
          <w:b/>
          <w:bCs/>
          <w:sz w:val="19"/>
          <w:szCs w:val="19"/>
        </w:rPr>
        <w:t xml:space="preserve">Write the letter of the Arabic term beside each English one.</w:t>
      </w:r>
    </w:p>
    <w:tbl>
      <w:tblPr>
        <w:tblW w:type="pct" w:w="100%"/>
        <w:tblBorders>
          <w:top w:val="single" w:color="DFE3EE" w:sz="4"/>
          <w:left w:val="single" w:color="DFE3EE" w:sz="4"/>
          <w:bottom w:val="single" w:color="DFE3EE" w:sz="4"/>
          <w:right w:val="single" w:color="DFE3EE" w:sz="4"/>
          <w:insideH w:val="single" w:color="DFE3EE" w:sz="4"/>
          <w:insideV w:val="single" w:color="DFE3EE" w:sz="4"/>
        </w:tblBorders>
      </w:tblPr>
      <w:tblGrid>
        <w:gridCol w:w="4"/>
        <w:gridCol w:w="40"/>
        <w:gridCol w:w="7"/>
        <w:gridCol w:w="4"/>
        <w:gridCol w:w="45"/>
      </w:tblGrid>
      <w:tr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/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English (exam term)</w:t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/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/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العربية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1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graded vesting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A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الإهلاك حسب المكونات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2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defined benefit plan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B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الاستحقاق المتدرج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3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research and development (R&amp;D)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C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القيمة العادلة ناقصاً تكاليف الاستبعاد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4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net realizable value (NRV)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D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التكلفة أو صافي القيمة القابلة للتحقق، أيهما أقل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5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lower of cost and net realizable value (LCNRV)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E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خطة المنافع المحددة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6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component depreciation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F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اختبار قابلية الاسترداد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7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fair value less costs of disposal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G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البحث والتطوير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8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recoverability test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H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صافي القيمة القابلة للتحقق</w:t>
            </w:r>
          </w:p>
        </w:tc>
      </w:tr>
    </w:tbl>
    <w:p/>
    <w:p>
      <w:pPr>
        <w:spacing w:before="150" w:after="60"/>
        <w:ind w:left="130" w:right="130"/>
        <w:shd w:fill="23265A" w:val="clear"/>
      </w:pPr>
      <w:r>
        <w:rPr>
          <w:b/>
          <w:bCs/>
          <w:color w:val="FFFFFF"/>
          <w:sz w:val="15"/>
          <w:szCs w:val="15"/>
        </w:rPr>
        <w:t xml:space="preserve">CHECK   </w:t>
      </w:r>
      <w:r>
        <w:rPr>
          <w:b/>
          <w:bCs/>
          <w:color w:val="FFFFFF"/>
          <w:sz w:val="17"/>
          <w:szCs w:val="17"/>
        </w:rPr>
        <w:t xml:space="preserve">Page 3</w:t>
      </w:r>
      <w:r>
        <w:rPr>
          <w:color w:val="FFFFFF"/>
          <w:sz w:val="15"/>
          <w:szCs w:val="15"/>
        </w:rPr>
        <w:t xml:space="preserve">   ·   items 30 to 43   ·   </w:t>
      </w:r>
      <w:r>
        <w:rPr>
          <w:color w:val="FFFFFF"/>
          <w:sz w:val="15"/>
          <w:szCs w:val="15"/>
        </w:rPr>
        <w:t xml:space="preserve">fewer than 10 right: </w:t>
      </w:r>
      <w:r>
        <w:rPr>
          <w:b/>
          <w:bCs/>
          <w:color w:val="FFFFFF"/>
          <w:sz w:val="15"/>
          <w:szCs w:val="15"/>
        </w:rPr>
        <w:t xml:space="preserve">redo page 3 before page 4</w:t>
      </w:r>
    </w:p>
    <w:p>
      <w:pPr>
        <w:spacing w:after="0"/>
        <w:pageBreakBefore w:val="true"/>
      </w:pPr>
      <w:r>
        <w:rPr>
          <w:sz w:val="2"/>
          <w:szCs w:val="2"/>
        </w:rPr>
        <w:t xml:space="preserve"> </w:t>
      </w:r>
    </w:p>
    <w:p>
      <w:pPr>
        <w:spacing w:before="120" w:after="55"/>
        <w:pBdr>
          <w:top w:val="single" w:sz="10" w:space="6" w:color="353A7C"/>
        </w:pBdr>
      </w:pPr>
      <w:r>
        <w:rPr>
          <w:b/>
          <w:bCs/>
          <w:color w:val="353A7C"/>
          <w:sz w:val="21"/>
          <w:szCs w:val="21"/>
        </w:rPr>
        <w:t xml:space="preserve">Exercise 7 · multiple choice   </w:t>
      </w:r>
      <w:r>
        <w:rPr>
          <w:b/>
          <w:bCs/>
          <w:sz w:val="19"/>
          <w:szCs w:val="19"/>
        </w:rPr>
        <w:t xml:space="preserve">Ring one letter for each question.</w:t>
      </w:r>
    </w:p>
    <w:p>
      <w:pPr>
        <w:spacing w:before="55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44.  </w:t>
      </w:r>
      <w:r>
        <w:rPr>
          <w:sz w:val="19"/>
          <w:szCs w:val="19"/>
        </w:rPr>
        <w:t xml:space="preserve">An asset has a carrying amount of $500,000, fair value less costs of disposal of $420,000 and value in use of $460,000. What is the IFRS impairment loss?</w:t>
      </w:r>
    </w:p>
    <w:tbl>
      <w:tblPr>
        <w:tblW w:type="pct" w:w="100%"/>
        <w:tblInd w:type="dxa" w:w="300"/>
      </w:tblPr>
      <w:tblGrid>
        <w:gridCol w:w="50"/>
        <w:gridCol w:w="50"/>
      </w:tblGrid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(A) </w:t>
            </w:r>
            <w:r>
              <w:rPr>
                <w:sz w:val="18"/>
                <w:szCs w:val="18"/>
              </w:rPr>
              <w:t xml:space="preserve">$0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(B) </w:t>
            </w:r>
            <w:r>
              <w:rPr>
                <w:sz w:val="18"/>
                <w:szCs w:val="18"/>
              </w:rPr>
              <w:t xml:space="preserve">$40,000</w:t>
            </w:r>
          </w:p>
        </w:tc>
      </w:tr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(C) </w:t>
            </w:r>
            <w:r>
              <w:rPr>
                <w:sz w:val="18"/>
                <w:szCs w:val="18"/>
              </w:rPr>
              <w:t xml:space="preserve">$60,000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(D) </w:t>
            </w:r>
            <w:r>
              <w:rPr>
                <w:sz w:val="18"/>
                <w:szCs w:val="18"/>
              </w:rPr>
              <w:t xml:space="preserve">$80,000</w:t>
            </w:r>
          </w:p>
        </w:tc>
      </w:tr>
    </w:tbl>
    <w:p>
      <w:pPr>
        <w:spacing w:before="55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45.  </w:t>
      </w:r>
      <w:r>
        <w:rPr>
          <w:sz w:val="19"/>
          <w:szCs w:val="19"/>
        </w:rPr>
        <w:t xml:space="preserve">Goodwill was impaired last year. This year the cash-generating unit recovers. Under IFRS, the goodwill impairment is:</w:t>
      </w:r>
    </w:p>
    <w:tbl>
      <w:tblPr>
        <w:tblW w:type="pct" w:w="100%"/>
        <w:tblInd w:type="dxa" w:w="300"/>
      </w:tblPr>
      <w:tblGrid>
        <w:gridCol w:w="50"/>
        <w:gridCol w:w="50"/>
      </w:tblGrid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(A) </w:t>
            </w:r>
            <w:r>
              <w:rPr>
                <w:sz w:val="18"/>
                <w:szCs w:val="18"/>
              </w:rPr>
              <w:t xml:space="preserve">reversed in full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(B) </w:t>
            </w:r>
            <w:r>
              <w:rPr>
                <w:sz w:val="18"/>
                <w:szCs w:val="18"/>
              </w:rPr>
              <w:t xml:space="preserve">reversed up to original cost</w:t>
            </w:r>
          </w:p>
        </w:tc>
      </w:tr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(C) </w:t>
            </w:r>
            <w:r>
              <w:rPr>
                <w:sz w:val="18"/>
                <w:szCs w:val="18"/>
              </w:rPr>
              <w:t xml:space="preserve">reversed through OCI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(D) </w:t>
            </w:r>
            <w:r>
              <w:rPr>
                <w:sz w:val="18"/>
                <w:szCs w:val="18"/>
              </w:rPr>
              <w:t xml:space="preserve">never reversed</w:t>
            </w:r>
          </w:p>
        </w:tc>
      </w:tr>
    </w:tbl>
    <w:p>
      <w:pPr>
        <w:spacing w:before="55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46.  </w:t>
      </w:r>
      <w:r>
        <w:rPr>
          <w:sz w:val="19"/>
          <w:szCs w:val="19"/>
        </w:rPr>
        <w:t xml:space="preserve">What is the IFRS equivalent of a U.S. 'asset group' in impairment testing?</w:t>
      </w:r>
    </w:p>
    <w:tbl>
      <w:tblPr>
        <w:tblW w:type="pct" w:w="100%"/>
        <w:tblInd w:type="dxa" w:w="300"/>
      </w:tblPr>
      <w:tblGrid>
        <w:gridCol w:w="50"/>
        <w:gridCol w:w="50"/>
      </w:tblGrid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(A) </w:t>
            </w:r>
            <w:r>
              <w:rPr>
                <w:sz w:val="18"/>
                <w:szCs w:val="18"/>
              </w:rPr>
              <w:t xml:space="preserve">A reporting unit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(B) </w:t>
            </w:r>
            <w:r>
              <w:rPr>
                <w:sz w:val="18"/>
                <w:szCs w:val="18"/>
              </w:rPr>
              <w:t xml:space="preserve">A cash-generating unit</w:t>
            </w:r>
          </w:p>
        </w:tc>
      </w:tr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(C) </w:t>
            </w:r>
            <w:r>
              <w:rPr>
                <w:sz w:val="18"/>
                <w:szCs w:val="18"/>
              </w:rPr>
              <w:t xml:space="preserve">A disposal group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(D) </w:t>
            </w:r>
            <w:r>
              <w:rPr>
                <w:sz w:val="18"/>
                <w:szCs w:val="18"/>
              </w:rPr>
              <w:t xml:space="preserve">A component of an entity</w:t>
            </w:r>
          </w:p>
        </w:tc>
      </w:tr>
    </w:tbl>
    <w:p>
      <w:pPr>
        <w:spacing w:before="55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47.  </w:t>
      </w:r>
      <w:r>
        <w:rPr>
          <w:sz w:val="19"/>
          <w:szCs w:val="19"/>
        </w:rPr>
        <w:t xml:space="preserve">Which pair shows a correct difference?</w:t>
      </w:r>
    </w:p>
    <w:tbl>
      <w:tblPr>
        <w:tblW w:type="pct" w:w="100%"/>
        <w:tblInd w:type="dxa" w:w="300"/>
      </w:tblPr>
      <w:tblGrid>
        <w:gridCol w:w="50"/>
        <w:gridCol w:w="50"/>
      </w:tblGrid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(A) </w:t>
            </w:r>
            <w:r>
              <w:rPr>
                <w:sz w:val="18"/>
                <w:szCs w:val="18"/>
              </w:rPr>
              <w:t xml:space="preserve">U.S.: research and development expensed; IFRS: development capitalized when criteria are met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(B) </w:t>
            </w:r>
            <w:r>
              <w:rPr>
                <w:sz w:val="18"/>
                <w:szCs w:val="18"/>
              </w:rPr>
              <w:t xml:space="preserve">U.S.: development capitalized; IFRS: expensed</w:t>
            </w:r>
          </w:p>
        </w:tc>
      </w:tr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(C) </w:t>
            </w:r>
            <w:r>
              <w:rPr>
                <w:sz w:val="18"/>
                <w:szCs w:val="18"/>
              </w:rPr>
              <w:t xml:space="preserve">Both capitalize research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(D) </w:t>
            </w:r>
            <w:r>
              <w:rPr>
                <w:sz w:val="18"/>
                <w:szCs w:val="18"/>
              </w:rPr>
              <w:t xml:space="preserve">Both expense all software costs</w:t>
            </w:r>
          </w:p>
        </w:tc>
      </w:tr>
    </w:tbl>
    <w:p/>
    <w:p>
      <w:pPr>
        <w:spacing w:before="150" w:after="60"/>
        <w:ind w:left="130" w:right="130"/>
        <w:shd w:fill="23265A" w:val="clear"/>
      </w:pPr>
      <w:r>
        <w:rPr>
          <w:b/>
          <w:bCs/>
          <w:color w:val="FFFFFF"/>
          <w:sz w:val="15"/>
          <w:szCs w:val="15"/>
        </w:rPr>
        <w:t xml:space="preserve">CHECK   </w:t>
      </w:r>
      <w:r>
        <w:rPr>
          <w:b/>
          <w:bCs/>
          <w:color w:val="FFFFFF"/>
          <w:sz w:val="17"/>
          <w:szCs w:val="17"/>
        </w:rPr>
        <w:t xml:space="preserve">Page 4</w:t>
      </w:r>
      <w:r>
        <w:rPr>
          <w:color w:val="FFFFFF"/>
          <w:sz w:val="15"/>
          <w:szCs w:val="15"/>
        </w:rPr>
        <w:t xml:space="preserve">   ·   items 44 to 47   ·   </w:t>
      </w:r>
      <w:r>
        <w:rPr>
          <w:color w:val="FFFFFF"/>
          <w:sz w:val="15"/>
          <w:szCs w:val="15"/>
        </w:rPr>
        <w:t xml:space="preserve">fewer than 3 right: </w:t>
      </w:r>
      <w:r>
        <w:rPr>
          <w:b/>
          <w:bCs/>
          <w:color w:val="FFFFFF"/>
          <w:sz w:val="15"/>
          <w:szCs w:val="15"/>
        </w:rPr>
        <w:t xml:space="preserve">redo page 4 before you leave the handout</w:t>
      </w:r>
    </w:p>
    <w:p>
      <w:pPr>
        <w:sectPr>
          <w:headerReference w:type="default" r:id="rIdHdr2"/>
          <w:pgSz w:w="11906" w:h="16838" w:orient="portrait"/>
          <w:pgMar w:top="1180" w:right="1000" w:bottom="900" w:left="1000" w:header="708" w:footer="708" w:gutter="0"/>
          <w:docGrid w:linePitch="360"/>
          <w:pgNumType w:start="1"/>
        </w:sectPr>
      </w:pPr>
    </w:p>
    <w:sectPr>
      <w:headerReference w:type="default" r:id="rIdHdr2"/>
      <w:pgSz w:w="11906" w:h="16838" w:orient="portrait"/>
      <w:pgMar w:top="1180" w:right="1000" w:bottom="900" w:left="1000" w:header="708" w:footer="708" w:gutter="0"/>
      <w:docGrid w:linePitch="360"/>
      <w:pgNumType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openxmlformats.org/wordprocessingml/2006/main" xmlns:w15="http://schemas.openxmlformats.org/wordprocessingml/2006/main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pct" w:w="100%"/>
      <w:tblBorders>
        <w:bottom w:val="single" w:color="DFE3EE" w:sz="8"/>
      </w:tblBorders>
    </w:tblPr>
    <w:tblGrid>
      <w:gridCol w:w="7400"/>
      <w:gridCol w:w="2000"/>
    </w:tblGrid>
    <w:tr>
      <w:tc>
        <w:tcPr>
          <w:tcW w:type="pct" w:w="3600"/>
          <w:tcMar>
            <w:top w:type="dxa" w:w="-30"/>
            <w:left w:type="dxa" w:w="30"/>
            <w:bottom w:type="dxa" w:w="-30"/>
            <w:right w:type="dxa" w:w="30"/>
          </w:tcMar>
        </w:tcPr>
        <w:p>
          <w:r>
            <w:rPr>
              <w:b/>
              <w:bCs/>
              <w:color w:val="23265A"/>
              <w:sz w:val="16"/>
              <w:szCs w:val="16"/>
            </w:rPr>
            <w:t xml:space="preserve">Handout 17.1 · Section 17.5</w:t>
          </w:r>
        </w:p>
      </w:tc>
      <w:tc>
        <w:tcPr>
          <w:tcW w:type="pct" w:w="1400"/>
          <w:tcMar>
            <w:top w:type="dxa" w:w="-30"/>
            <w:left w:type="dxa" w:w="30"/>
            <w:bottom w:type="dxa" w:w="-30"/>
            <w:right w:type="dxa" w:w="30"/>
          </w:tcMar>
        </w:tcPr>
        <w:p>
          <w:pPr>
            <w:jc w:val="right"/>
          </w:pPr>
          <w:r>
            <w:rPr>
              <w:color w:val="6B7280"/>
              <w:sz w:val="16"/>
              <w:szCs w:val="16"/>
            </w:rPr>
            <w:t xml:space="preserve">Handout 17.1 — Page </w:t>
          </w:r>
          <w:fldSimple w:instr=" PAGE ">
            <w:r>
              <w:rPr>
                <w:b/>
                <w:bCs/>
                <w:color w:val="23265A"/>
                <w:sz w:val="16"/>
                <w:szCs w:val="16"/>
              </w:rPr>
              <w:t xml:space="preserve">1</w:t>
            </w:r>
          </w:fldSimple>
          <w:r>
            <w:rPr>
              <w:color w:val="6B7280"/>
              <w:sz w:val="16"/>
              <w:szCs w:val="16"/>
            </w:rPr>
            <w:t xml:space="preserve"> of 4</w:t>
          </w:r>
        </w:p>
      </w:tc>
    </w:tr>
  </w:tbl>
  <w:p>
    <w:pPr>
      <w:spacing w:after="0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openxmlformats.org/wordprocessingml/2006/main" xmlns:w15="http://schemas.openxmlformats.org/wordprocessingml/2006/main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pct" w:w="100%"/>
      <w:tblBorders>
        <w:bottom w:val="single" w:color="DFE3EE" w:sz="8"/>
      </w:tblBorders>
    </w:tblPr>
    <w:tblGrid>
      <w:gridCol w:w="7400"/>
      <w:gridCol w:w="2000"/>
    </w:tblGrid>
    <w:tr>
      <w:tc>
        <w:tcPr>
          <w:tcW w:type="pct" w:w="3600"/>
          <w:tcMar>
            <w:top w:type="dxa" w:w="-30"/>
            <w:left w:type="dxa" w:w="30"/>
            <w:bottom w:type="dxa" w:w="-30"/>
            <w:right w:type="dxa" w:w="30"/>
          </w:tcMar>
        </w:tcPr>
        <w:p>
          <w:r>
            <w:rPr>
              <w:b/>
              <w:bCs/>
              <w:color w:val="23265A"/>
              <w:sz w:val="16"/>
              <w:szCs w:val="16"/>
            </w:rPr>
            <w:t xml:space="preserve">Handout 17.2 · The practice set</w:t>
          </w:r>
        </w:p>
      </w:tc>
      <w:tc>
        <w:tcPr>
          <w:tcW w:type="pct" w:w="1400"/>
          <w:tcMar>
            <w:top w:type="dxa" w:w="-30"/>
            <w:left w:type="dxa" w:w="30"/>
            <w:bottom w:type="dxa" w:w="-30"/>
            <w:right w:type="dxa" w:w="30"/>
          </w:tcMar>
        </w:tcPr>
        <w:p>
          <w:pPr>
            <w:jc w:val="right"/>
          </w:pPr>
          <w:r>
            <w:rPr>
              <w:color w:val="6B7280"/>
              <w:sz w:val="16"/>
              <w:szCs w:val="16"/>
            </w:rPr>
            <w:t xml:space="preserve">Handout 17.2 — Page </w:t>
          </w:r>
          <w:fldSimple w:instr=" PAGE ">
            <w:r>
              <w:rPr>
                <w:b/>
                <w:bCs/>
                <w:color w:val="23265A"/>
                <w:sz w:val="16"/>
                <w:szCs w:val="16"/>
              </w:rPr>
              <w:t xml:space="preserve">1</w:t>
            </w:r>
          </w:fldSimple>
          <w:r>
            <w:rPr>
              <w:color w:val="6B7280"/>
              <w:sz w:val="16"/>
              <w:szCs w:val="16"/>
            </w:rPr>
            <w:t xml:space="preserve"> of 4</w:t>
          </w:r>
        </w:p>
      </w:tc>
    </w:tr>
  </w:tbl>
  <w:p>
    <w:pPr>
      <w:spacing w:after="0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openxmlformats.org/wordprocessingml/2006/main" xmlns:w15="http://schemas.openxmlformats.org/wordprocessingml/2006/main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defaultTabStop w:val="720"/>
  <w:compat>
    <w:compatSetting w:name="compatibilityMode" w:uri="http://schemas.microsoft.com/office/word" w:val="15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 standalone="yes"?><Relationships xmlns="http://schemas.openxmlformats.org/package/2006/relationships"><Relationship Id="rIdstyles" Target="styles.xml" Type="http://schemas.openxmlformats.org/officeDocument/2006/relationships/styles"/><Relationship Id="rIdnumbering" Target="numbering.xml" Type="http://schemas.openxmlformats.org/officeDocument/2006/relationships/numbering"/><Relationship Id="rIdfontTable" Target="fontTable.xml" Type="http://schemas.openxmlformats.org/officeDocument/2006/relationships/fontTable"/><Relationship Id="rIdsettings" Target="settings.xml" Type="http://schemas.openxmlformats.org/officeDocument/2006/relationships/settings"/><Relationship Id="rIdHdr1" Target="header1.xml" Type="http://schemas.openxmlformats.org/officeDocument/2006/relationships/header"/><Relationship Id="rIdHdr2" Target="header2.xml" Type="http://schemas.openxmlformats.org/officeDocument/2006/relationships/header"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CMA Part 1 · Section A · Chapter 17</dc:title>
  <dc:subject>U.S. GAAP and IFRS: The Six Tested Differences</dc:subject>
  <cp:category>Student Book</cp:category>
</cp:coreProperties>
</file>