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income statement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use it to see whether the company earns enough to pay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use it to compare results with budgets and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require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balance   ·   increases   ·   company's   ·   whether   ·   profitable   ·   usually   ·   Managers   ·   competitors   ·   result   ·   Investors   ·   Lenders   ·   photograph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55"/>
        <w:gridCol w:w="45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33"/>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367"/>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33"/>
            <w:tcMar>
              <w:top w:type="dxa" w:w="50"/>
              <w:left w:type="dxa" w:w="110"/>
              <w:bottom w:type="dxa" w:w="50"/>
              <w:right w:type="dxa" w:w="110"/>
            </w:tcMar>
          </w:tcPr>
          <w:p>
            <w:pPr>
              <w:spacing w:before="28" w:after="28"/>
            </w:pPr>
            <w:r>
              <w:rPr>
                <w:sz w:val="15"/>
                <w:szCs w:val="15"/>
              </w:rPr>
              <w:t xml:space="preserve">Net sales</w:t>
            </w:r>
          </w:p>
        </w:tc>
        <w:tc>
          <w:tcPr>
            <w:tcW w:type="pct" w:w="2367"/>
            <w:tcMar>
              <w:top w:type="dxa" w:w="50"/>
              <w:left w:type="dxa" w:w="110"/>
              <w:bottom w:type="dxa" w:w="50"/>
              <w:right w:type="dxa" w:w="110"/>
            </w:tcMar>
          </w:tcPr>
          <w:p>
            <w:pPr>
              <w:spacing w:before="28" w:after="28"/>
            </w:pPr>
            <w:r>
              <w:rPr>
                <w:sz w:val="15"/>
                <w:szCs w:val="15"/>
              </w:rPr>
              <w:t xml:space="preserve">42,000,000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67"/>
            <w:shd w:fill="FBFAF6" w:val="clear"/>
            <w:tcMar>
              <w:top w:type="dxa" w:w="50"/>
              <w:left w:type="dxa" w:w="110"/>
              <w:bottom w:type="dxa" w:w="50"/>
              <w:right w:type="dxa" w:w="110"/>
            </w:tcMar>
          </w:tcPr>
          <w:p>
            <w:pPr>
              <w:spacing w:before="28" w:after="28"/>
            </w:pPr>
            <w:r>
              <w:rPr>
                <w:sz w:val="15"/>
                <w:szCs w:val="15"/>
              </w:rPr>
              <w:t xml:space="preserve">(27,300,000)</w:t>
            </w:r>
          </w:p>
        </w:tc>
      </w:tr>
      <w:tr>
        <w:tc>
          <w:tcPr>
            <w:tcW w:type="pct" w:w="2633"/>
            <w:tcMar>
              <w:top w:type="dxa" w:w="50"/>
              <w:left w:type="dxa" w:w="110"/>
              <w:bottom w:type="dxa" w:w="50"/>
              <w:right w:type="dxa" w:w="110"/>
            </w:tcMar>
          </w:tcPr>
          <w:p>
            <w:pPr>
              <w:spacing w:before="28" w:after="28"/>
            </w:pPr>
            <w:r>
              <w:rPr>
                <w:sz w:val="15"/>
                <w:szCs w:val="15"/>
              </w:rPr>
              <w:t xml:space="preserve">Gross profit</w:t>
            </w:r>
          </w:p>
        </w:tc>
        <w:tc>
          <w:tcPr>
            <w:tcW w:type="pct" w:w="2367"/>
            <w:tcMar>
              <w:top w:type="dxa" w:w="50"/>
              <w:left w:type="dxa" w:w="110"/>
              <w:bottom w:type="dxa" w:w="50"/>
              <w:right w:type="dxa" w:w="110"/>
            </w:tcMar>
          </w:tcPr>
          <w:p>
            <w:pPr>
              <w:spacing w:before="28" w:after="28"/>
            </w:pPr>
            <w:r>
              <w:rPr>
                <w:sz w:val="15"/>
                <w:szCs w:val="15"/>
              </w:rPr>
              <w:t xml:space="preserve">14,700,000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Operating expenses</w:t>
            </w:r>
          </w:p>
        </w:tc>
        <w:tc>
          <w:tcPr>
            <w:tcW w:type="pct" w:w="2367"/>
            <w:shd w:fill="FBFAF6" w:val="clear"/>
            <w:tcMar>
              <w:top w:type="dxa" w:w="50"/>
              <w:left w:type="dxa" w:w="110"/>
              <w:bottom w:type="dxa" w:w="50"/>
              <w:right w:type="dxa" w:w="110"/>
            </w:tcMar>
          </w:tcPr>
          <w:p>
            <w:pPr>
              <w:spacing w:before="28" w:after="28"/>
            </w:pPr>
            <w:r>
              <w:rPr>
                <w:sz w:val="15"/>
                <w:szCs w:val="15"/>
              </w:rPr>
              <w:t xml:space="preserve"> </w:t>
            </w:r>
          </w:p>
        </w:tc>
      </w:tr>
      <w:tr>
        <w:tc>
          <w:tcPr>
            <w:tcW w:type="pct" w:w="2633"/>
            <w:tcMar>
              <w:top w:type="dxa" w:w="50"/>
              <w:left w:type="dxa" w:w="110"/>
              <w:bottom w:type="dxa" w:w="50"/>
              <w:right w:type="dxa" w:w="110"/>
            </w:tcMar>
          </w:tcPr>
          <w:p>
            <w:pPr>
              <w:spacing w:before="28" w:after="28"/>
            </w:pPr>
            <w:r>
              <w:rPr>
                <w:sz w:val="15"/>
                <w:szCs w:val="15"/>
              </w:rPr>
              <w:t xml:space="preserve">Selling, general and administrative</w:t>
            </w:r>
          </w:p>
        </w:tc>
        <w:tc>
          <w:tcPr>
            <w:tcW w:type="pct" w:w="2367"/>
            <w:tcMar>
              <w:top w:type="dxa" w:w="50"/>
              <w:left w:type="dxa" w:w="110"/>
              <w:bottom w:type="dxa" w:w="50"/>
              <w:right w:type="dxa" w:w="110"/>
            </w:tcMar>
          </w:tcPr>
          <w:p>
            <w:pPr>
              <w:spacing w:before="28" w:after="28"/>
            </w:pPr>
            <w:r>
              <w:rPr>
                <w:sz w:val="15"/>
                <w:szCs w:val="15"/>
              </w:rPr>
              <w:t xml:space="preserve">(7,237,000)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Credit loss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(63,000)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67"/>
            <w:tcMar>
              <w:top w:type="dxa" w:w="50"/>
              <w:left w:type="dxa" w:w="110"/>
              <w:bottom w:type="dxa" w:w="50"/>
              <w:right w:type="dxa" w:w="110"/>
            </w:tcMar>
          </w:tcPr>
          <w:p>
            <w:pPr>
              <w:spacing w:before="28" w:after="28"/>
            </w:pPr>
            <w:r>
              <w:rPr>
                <w:sz w:val="15"/>
                <w:szCs w:val="15"/>
              </w:rPr>
              <w:t xml:space="preserve">(500,000)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Impairment losses</w:t>
            </w:r>
          </w:p>
        </w:tc>
        <w:tc>
          <w:tcPr>
            <w:tcW w:type="pct" w:w="2367"/>
            <w:shd w:fill="FBFAF6" w:val="clear"/>
            <w:tcMar>
              <w:top w:type="dxa" w:w="50"/>
              <w:left w:type="dxa" w:w="110"/>
              <w:bottom w:type="dxa" w:w="50"/>
              <w:right w:type="dxa" w:w="110"/>
            </w:tcMar>
          </w:tcPr>
          <w:p>
            <w:pPr>
              <w:spacing w:before="28" w:after="28"/>
            </w:pPr>
            <w:r>
              <w:rPr>
                <w:sz w:val="15"/>
                <w:szCs w:val="15"/>
              </w:rPr>
              <w:t xml:space="preserve">(2,724,000)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67"/>
            <w:tcMar>
              <w:top w:type="dxa" w:w="50"/>
              <w:left w:type="dxa" w:w="110"/>
              <w:bottom w:type="dxa" w:w="50"/>
              <w:right w:type="dxa" w:w="110"/>
            </w:tcMar>
          </w:tcPr>
          <w:p>
            <w:pPr>
              <w:spacing w:before="28" w:after="28"/>
            </w:pPr>
            <w:r>
              <w:rPr>
                <w:sz w:val="15"/>
                <w:szCs w:val="15"/>
              </w:rPr>
              <w:t xml:space="preserve">(10,524,000)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67"/>
            <w:shd w:fill="FBFAF6" w:val="clear"/>
            <w:tcMar>
              <w:top w:type="dxa" w:w="50"/>
              <w:left w:type="dxa" w:w="110"/>
              <w:bottom w:type="dxa" w:w="50"/>
              <w:right w:type="dxa" w:w="110"/>
            </w:tcMar>
          </w:tcPr>
          <w:p>
            <w:pPr>
              <w:spacing w:before="28" w:after="28"/>
            </w:pPr>
            <w:r>
              <w:rPr>
                <w:sz w:val="15"/>
                <w:szCs w:val="15"/>
              </w:rPr>
              <w:t xml:space="preserve">4,176,000</w:t>
            </w:r>
          </w:p>
        </w:tc>
      </w:tr>
      <w:tr>
        <w:tc>
          <w:tcPr>
            <w:tcW w:type="pct" w:w="2633"/>
            <w:tcMar>
              <w:top w:type="dxa" w:w="50"/>
              <w:left w:type="dxa" w:w="110"/>
              <w:bottom w:type="dxa" w:w="50"/>
              <w:right w:type="dxa" w:w="110"/>
            </w:tcMar>
          </w:tcPr>
          <w:p>
            <w:pPr>
              <w:spacing w:before="28" w:after="28"/>
            </w:pPr>
            <w:r>
              <w:rPr>
                <w:sz w:val="15"/>
                <w:szCs w:val="15"/>
              </w:rPr>
              <w:t xml:space="preserve">Other income and (expense)</w:t>
            </w:r>
          </w:p>
        </w:tc>
        <w:tc>
          <w:tcPr>
            <w:tcW w:type="pct" w:w="2367"/>
            <w:tcMar>
              <w:top w:type="dxa" w:w="50"/>
              <w:left w:type="dxa" w:w="110"/>
              <w:bottom w:type="dxa" w:w="50"/>
              <w:right w:type="dxa" w:w="110"/>
            </w:tcMar>
          </w:tcPr>
          <w:p>
            <w:pPr>
              <w:spacing w:before="28" w:after="28"/>
            </w:pPr>
            <w:r>
              <w:rPr>
                <w:sz w:val="15"/>
                <w:szCs w:val="15"/>
              </w:rPr>
              <w:t xml:space="preserve"> </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33"/>
            <w:tcMar>
              <w:top w:type="dxa" w:w="50"/>
              <w:left w:type="dxa" w:w="110"/>
              <w:bottom w:type="dxa" w:w="50"/>
              <w:right w:type="dxa" w:w="110"/>
            </w:tcMar>
          </w:tcPr>
          <w:p>
            <w:pPr>
              <w:spacing w:before="28" w:after="28"/>
            </w:pPr>
            <w:r>
              <w:rPr>
                <w:sz w:val="15"/>
                <w:szCs w:val="15"/>
              </w:rPr>
              <w:t xml:space="preserve">Interest and dividend income</w:t>
            </w:r>
          </w:p>
        </w:tc>
        <w:tc>
          <w:tcPr>
            <w:tcW w:type="pct" w:w="2367"/>
            <w:tcMar>
              <w:top w:type="dxa" w:w="50"/>
              <w:left w:type="dxa" w:w="110"/>
              <w:bottom w:type="dxa" w:w="50"/>
              <w:right w:type="dxa" w:w="110"/>
            </w:tcMar>
          </w:tcPr>
          <w:p>
            <w:pPr>
              <w:spacing w:before="28" w:after="28"/>
            </w:pPr>
            <w:r>
              <w:rPr>
                <w:sz w:val="15"/>
                <w:szCs w:val="15"/>
              </w:rPr>
              <w:t xml:space="preserve">3,800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67"/>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67"/>
            <w:tcMar>
              <w:top w:type="dxa" w:w="50"/>
              <w:left w:type="dxa" w:w="110"/>
              <w:bottom w:type="dxa" w:w="50"/>
              <w:right w:type="dxa" w:w="110"/>
            </w:tcMar>
          </w:tcPr>
          <w:p>
            <w:pPr>
              <w:spacing w:before="28" w:after="28"/>
            </w:pPr>
            <w:r>
              <w:rPr>
                <w:sz w:val="15"/>
                <w:szCs w:val="15"/>
              </w:rPr>
              <w:t xml:space="preserve">177,000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367"/>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67"/>
            <w:tcMar>
              <w:top w:type="dxa" w:w="50"/>
              <w:left w:type="dxa" w:w="110"/>
              <w:bottom w:type="dxa" w:w="50"/>
              <w:right w:type="dxa" w:w="110"/>
            </w:tcMar>
          </w:tcPr>
          <w:p>
            <w:pPr>
              <w:spacing w:before="28" w:after="28"/>
            </w:pPr>
            <w:r>
              <w:rPr>
                <w:sz w:val="15"/>
                <w:szCs w:val="15"/>
              </w:rPr>
              <w:t xml:space="preserve">(15,000)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67"/>
            <w:shd w:fill="FBFAF6" w:val="clear"/>
            <w:tcMar>
              <w:top w:type="dxa" w:w="50"/>
              <w:left w:type="dxa" w:w="110"/>
              <w:bottom w:type="dxa" w:w="50"/>
              <w:right w:type="dxa" w:w="110"/>
            </w:tcMar>
          </w:tcPr>
          <w:p>
            <w:pPr>
              <w:spacing w:before="28" w:after="28"/>
            </w:pPr>
            <w:r>
              <w:rPr>
                <w:sz w:val="15"/>
                <w:szCs w:val="15"/>
              </w:rPr>
              <w:t xml:space="preserve">(217,200)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367"/>
            <w:tcMar>
              <w:top w:type="dxa" w:w="50"/>
              <w:left w:type="dxa" w:w="110"/>
              <w:bottom w:type="dxa" w:w="50"/>
              <w:right w:type="dxa" w:w="110"/>
            </w:tcMar>
          </w:tcPr>
          <w:p>
            <w:pPr>
              <w:spacing w:before="28" w:after="28"/>
            </w:pPr>
            <w:r>
              <w:rPr>
                <w:sz w:val="15"/>
                <w:szCs w:val="15"/>
              </w:rPr>
              <w:t xml:space="preserve">3,958,800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Income tax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33"/>
            <w:tcMar>
              <w:top w:type="dxa" w:w="50"/>
              <w:left w:type="dxa" w:w="110"/>
              <w:bottom w:type="dxa" w:w="50"/>
              <w:right w:type="dxa" w:w="110"/>
            </w:tcMar>
          </w:tcPr>
          <w:p>
            <w:pPr>
              <w:spacing w:before="28" w:after="28"/>
            </w:pPr>
            <w:r>
              <w:rPr>
                <w:sz w:val="15"/>
                <w:szCs w:val="15"/>
              </w:rPr>
              <w:t xml:space="preserve">Net income</w:t>
            </w:r>
          </w:p>
        </w:tc>
        <w:tc>
          <w:tcPr>
            <w:tcW w:type="pct" w:w="2367"/>
            <w:tcMar>
              <w:top w:type="dxa" w:w="50"/>
              <w:left w:type="dxa" w:w="110"/>
              <w:bottom w:type="dxa" w:w="50"/>
              <w:right w:type="dxa" w:w="110"/>
            </w:tcMar>
          </w:tcPr>
          <w:p>
            <w:pPr>
              <w:spacing w:before="28" w:after="28"/>
            </w:pPr>
            <w:r>
              <w:rPr>
                <w:sz w:val="15"/>
                <w:szCs w:val="15"/>
              </w:rPr>
              <w:t xml:space="preserve">2,969,100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Earnings per share, basic and diluted</w:t>
            </w:r>
          </w:p>
        </w:tc>
        <w:tc>
          <w:tcPr>
            <w:tcW w:type="pct" w:w="2367"/>
            <w:shd w:fill="FBFAF6" w:val="clear"/>
            <w:tcMar>
              <w:top w:type="dxa" w:w="50"/>
              <w:left w:type="dxa" w:w="110"/>
              <w:bottom w:type="dxa" w:w="50"/>
              <w:right w:type="dxa" w:w="110"/>
            </w:tcMar>
          </w:tcPr>
          <w:p>
            <w:pPr>
              <w:spacing w:before="28" w:after="28"/>
            </w:pPr>
            <w:r>
              <w:rPr>
                <w:sz w:val="15"/>
                <w:szCs w:val="15"/>
              </w:rPr>
              <w:t xml:space="preserve">$0.37</w:t>
            </w:r>
          </w:p>
        </w:tc>
      </w:tr>
      <w:tr>
        <w:tc>
          <w:tcPr>
            <w:tcW w:type="pct" w:w="2633"/>
            <w:tcMar>
              <w:top w:type="dxa" w:w="50"/>
              <w:left w:type="dxa" w:w="110"/>
              <w:bottom w:type="dxa" w:w="50"/>
              <w:right w:type="dxa" w:w="110"/>
            </w:tcMar>
          </w:tcPr>
          <w:p>
            <w:pPr>
              <w:spacing w:before="28" w:after="28"/>
            </w:pPr>
            <w:r>
              <w:rPr>
                <w:sz w:val="15"/>
                <w:szCs w:val="15"/>
              </w:rPr>
              <w:t xml:space="preserve">Weighted-average shares outstanding</w:t>
            </w:r>
          </w:p>
        </w:tc>
        <w:tc>
          <w:tcPr>
            <w:tcW w:type="pct" w:w="2367"/>
            <w:tcMar>
              <w:top w:type="dxa" w:w="50"/>
              <w:left w:type="dxa" w:w="110"/>
              <w:bottom w:type="dxa" w:w="50"/>
              <w:right w:type="dxa" w:w="110"/>
            </w:tcMar>
          </w:tcPr>
          <w:p>
            <w:pPr>
              <w:spacing w:before="28" w:after="28"/>
            </w:pPr>
            <w:r>
              <w:rPr>
                <w:sz w:val="15"/>
                <w:szCs w:val="15"/>
              </w:rPr>
              <w:t xml:space="preserve">8,099,726</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367"/>
            <w:shd w:fill="FBFAF6" w:val="clear"/>
            <w:tcMar>
              <w:top w:type="dxa" w:w="50"/>
              <w:left w:type="dxa" w:w="110"/>
              <w:bottom w:type="dxa" w:w="50"/>
              <w:right w:type="dxa" w:w="110"/>
            </w:tcMar>
          </w:tcPr>
          <w:p>
            <w:pPr>
              <w:spacing w:before="28" w:after="28"/>
            </w:pPr>
            <w:r>
              <w:rPr>
                <w:sz w:val="15"/>
                <w:szCs w:val="15"/>
              </w:rPr>
              <w:t xml:space="preserve"> </w:t>
            </w:r>
          </w:p>
        </w:tc>
      </w:tr>
      <w:tr>
        <w:tc>
          <w:tcPr>
            <w:tcW w:type="pct" w:w="2633"/>
            <w:tcMar>
              <w:top w:type="dxa" w:w="50"/>
              <w:left w:type="dxa" w:w="110"/>
              <w:bottom w:type="dxa" w:w="50"/>
              <w:right w:type="dxa" w:w="110"/>
            </w:tcMar>
          </w:tcPr>
          <w:p>
            <w:pPr>
              <w:spacing w:before="28" w:after="28"/>
            </w:pPr>
            <w:r>
              <w:rPr>
                <w:sz w:val="15"/>
                <w:szCs w:val="15"/>
              </w:rPr>
              <w:t xml:space="preserve">Unrealized loss on available-for-sale debt securities, net of tax of 375</w:t>
            </w:r>
          </w:p>
        </w:tc>
        <w:tc>
          <w:tcPr>
            <w:tcW w:type="pct" w:w="2367"/>
            <w:tcMar>
              <w:top w:type="dxa" w:w="50"/>
              <w:left w:type="dxa" w:w="110"/>
              <w:bottom w:type="dxa" w:w="50"/>
              <w:right w:type="dxa" w:w="110"/>
            </w:tcMar>
          </w:tcPr>
          <w:p>
            <w:pPr>
              <w:spacing w:before="28" w:after="28"/>
            </w:pPr>
            <w:r>
              <w:rPr>
                <w:sz w:val="15"/>
                <w:szCs w:val="15"/>
              </w:rPr>
              <w:t xml:space="preserve">(1,125)</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Comprehensive income</w:t>
            </w:r>
          </w:p>
        </w:tc>
        <w:tc>
          <w:tcPr>
            <w:tcW w:type="pct" w:w="2367"/>
            <w:shd w:fill="FBFAF6" w:val="clear"/>
            <w:tcMar>
              <w:top w:type="dxa" w:w="50"/>
              <w:left w:type="dxa" w:w="110"/>
              <w:bottom w:type="dxa" w:w="50"/>
              <w:right w:type="dxa" w:w="110"/>
            </w:tcMar>
          </w:tcPr>
          <w:p>
            <w:pPr>
              <w:spacing w:before="28" w:after="28"/>
            </w:pPr>
            <w:r>
              <w:rPr>
                <w:sz w:val="15"/>
                <w:szCs w:val="15"/>
              </w:rPr>
              <w:t xml:space="preserve">2,967,975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   Operating income   ·   Gross profit   ·   Total other income and (expense)   ·   Research and development   ·   Loss on sale of receivables   ·   Total operating expenses   ·   Cost of goods sold   ·   Unrealized gains on securities   ·   Equity-method income   ·   Other comprehensive income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tax allocation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Research and 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Total operating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Equity-method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Loss on sale of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Total 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single-step income statement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selling, general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expenses, research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credit losses and impairments.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amount, not the full proceeds. </w:t>
      </w:r>
      <w:r>
        <w:rPr>
          <w:sz w:val="19"/>
          <w:szCs w:val="19"/>
        </w:rPr>
        <w:t xml:space="preserve">Income tax expense is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peripheral   ·   development   ·   transaction   ·   deducted   ·   investment   ·   administrative   ·   carrying   ·   reported   ·   divided   ·   follows</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EPS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analyzes   ·   statement   ·   weighted-average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Gross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research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Interest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below operating income, never inside it. </w:t>
      </w:r>
      <w:r>
        <w:rPr>
          <w:sz w:val="19"/>
          <w:szCs w:val="19"/>
        </w:rPr>
        <w:t xml:space="preserve">A gain on selling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outside production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equipment   ·   Orontes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14"/>
        <w:gridCol w:w="458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12"/>
            <w:shd w:fill="353A7C" w:val="clear"/>
            <w:tcMar>
              <w:top w:type="dxa" w:w="50"/>
              <w:left w:type="dxa" w:w="110"/>
              <w:bottom w:type="dxa" w:w="50"/>
              <w:right w:type="dxa" w:w="110"/>
            </w:tcMar>
          </w:tcPr>
          <w:p>
            <w:pPr>
              <w:spacing w:before="30" w:after="30"/>
            </w:pPr>
            <w:r>
              <w:rPr>
                <w:b/>
                <w:bCs/>
                <w:color w:val="FFFFFF"/>
                <w:sz w:val="15"/>
                <w:szCs w:val="15"/>
              </w:rPr>
              <w:t xml:space="preserve">Barada Wholesale, year ended December 31, 2025 (</w:t>
            </w:r>
          </w:p>
        </w:tc>
        <w:tc>
          <w:tcPr>
            <w:tcW w:type="pct" w:w="2388"/>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88"/>
            <w:tcMar>
              <w:top w:type="dxa" w:w="50"/>
              <w:left w:type="dxa" w:w="110"/>
              <w:bottom w:type="dxa" w:w="50"/>
              <w:right w:type="dxa" w:w="110"/>
            </w:tcMar>
          </w:tcPr>
          <w:p>
            <w:pPr>
              <w:spacing w:before="28" w:after="28"/>
            </w:pPr>
            <w:r>
              <w:rPr>
                <w:sz w:val="15"/>
                <w:szCs w:val="15"/>
              </w:rPr>
              <w:t xml:space="preserve">3,100</w:t>
            </w:r>
          </w:p>
        </w:tc>
      </w:tr>
      <w:tr>
        <w:tc>
          <w:tcPr>
            <w:tcW w:type="pct" w:w="2612"/>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388"/>
            <w:shd w:fill="FBFAF6" w:val="clear"/>
            <w:tcMar>
              <w:top w:type="dxa" w:w="50"/>
              <w:left w:type="dxa" w:w="110"/>
              <w:bottom w:type="dxa" w:w="50"/>
              <w:right w:type="dxa" w:w="110"/>
            </w:tcMar>
          </w:tcPr>
          <w:p>
            <w:pPr>
              <w:spacing w:before="28" w:after="28"/>
            </w:pPr>
            <w:r>
              <w:rPr>
                <w:sz w:val="15"/>
                <w:szCs w:val="15"/>
              </w:rPr>
              <w:t xml:space="preserve">(1,860)</w:t>
            </w:r>
          </w:p>
        </w:tc>
      </w:tr>
      <w:tr>
        <w:tc>
          <w:tcPr>
            <w:tcW w:type="pct" w:w="2612"/>
            <w:tcMar>
              <w:top w:type="dxa" w:w="50"/>
              <w:left w:type="dxa" w:w="110"/>
              <w:bottom w:type="dxa" w:w="50"/>
              <w:right w:type="dxa" w:w="110"/>
            </w:tcMar>
          </w:tcPr>
          <w:p>
            <w:pPr>
              <w:spacing w:before="28" w:after="28"/>
            </w:pPr>
            <w:r>
              <w:rPr>
                <w:sz w:val="15"/>
                <w:szCs w:val="15"/>
              </w:rPr>
              <w:t xml:space="preserve">Gross profit</w:t>
            </w:r>
          </w:p>
        </w:tc>
        <w:tc>
          <w:tcPr>
            <w:tcW w:type="pct" w:w="2388"/>
            <w:tcMar>
              <w:top w:type="dxa" w:w="50"/>
              <w:left w:type="dxa" w:w="110"/>
              <w:bottom w:type="dxa" w:w="50"/>
              <w:right w:type="dxa" w:w="110"/>
            </w:tcMar>
          </w:tcPr>
          <w:p>
            <w:pPr>
              <w:spacing w:before="28" w:after="28"/>
            </w:pPr>
            <w:r>
              <w:rPr>
                <w:sz w:val="15"/>
                <w:szCs w:val="15"/>
              </w:rPr>
              <w:t xml:space="preserve">1,240</w:t>
            </w:r>
          </w:p>
        </w:tc>
      </w:tr>
      <w:tr>
        <w:tc>
          <w:tcPr>
            <w:tcW w:type="pct" w:w="2612"/>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2388"/>
            <w:shd w:fill="FBFAF6" w:val="clear"/>
            <w:tcMar>
              <w:top w:type="dxa" w:w="50"/>
              <w:left w:type="dxa" w:w="110"/>
              <w:bottom w:type="dxa" w:w="50"/>
              <w:right w:type="dxa" w:w="110"/>
            </w:tcMar>
          </w:tcPr>
          <w:p>
            <w:pPr>
              <w:spacing w:before="28" w:after="28"/>
            </w:pPr>
            <w:r>
              <w:rPr>
                <w:sz w:val="15"/>
                <w:szCs w:val="15"/>
              </w:rPr>
              <w:t xml:space="preserve">(520)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88"/>
            <w:tcMar>
              <w:top w:type="dxa" w:w="50"/>
              <w:left w:type="dxa" w:w="110"/>
              <w:bottom w:type="dxa" w:w="50"/>
              <w:right w:type="dxa" w:w="110"/>
            </w:tcMar>
          </w:tcPr>
          <w:p>
            <w:pPr>
              <w:spacing w:before="28" w:after="28"/>
            </w:pPr>
            <w:r>
              <w:rPr>
                <w:sz w:val="15"/>
                <w:szCs w:val="15"/>
              </w:rPr>
              <w:t xml:space="preserve">(300)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88"/>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12"/>
            <w:tcMar>
              <w:top w:type="dxa" w:w="50"/>
              <w:left w:type="dxa" w:w="110"/>
              <w:bottom w:type="dxa" w:w="50"/>
              <w:right w:type="dxa" w:w="110"/>
            </w:tcMar>
          </w:tcPr>
          <w:p>
            <w:pPr>
              <w:spacing w:before="28" w:after="28"/>
            </w:pPr>
            <w:r>
              <w:rPr>
                <w:sz w:val="15"/>
                <w:szCs w:val="15"/>
              </w:rPr>
              <w:t xml:space="preserve">Interest expense</w:t>
            </w:r>
          </w:p>
        </w:tc>
        <w:tc>
          <w:tcPr>
            <w:tcW w:type="pct" w:w="2388"/>
            <w:tcMar>
              <w:top w:type="dxa" w:w="50"/>
              <w:left w:type="dxa" w:w="110"/>
              <w:bottom w:type="dxa" w:w="50"/>
              <w:right w:type="dxa" w:w="110"/>
            </w:tcMar>
          </w:tcPr>
          <w:p>
            <w:pPr>
              <w:spacing w:before="28" w:after="28"/>
            </w:pPr>
            <w:r>
              <w:rPr>
                <w:sz w:val="15"/>
                <w:szCs w:val="15"/>
              </w:rPr>
              <w:t xml:space="preserve">(90)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88"/>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12"/>
            <w:tcMar>
              <w:top w:type="dxa" w:w="50"/>
              <w:left w:type="dxa" w:w="110"/>
              <w:bottom w:type="dxa" w:w="50"/>
              <w:right w:type="dxa" w:w="110"/>
            </w:tcMar>
          </w:tcPr>
          <w:p>
            <w:pPr>
              <w:spacing w:before="28" w:after="28"/>
            </w:pPr>
            <w:r>
              <w:rPr>
                <w:sz w:val="15"/>
                <w:szCs w:val="15"/>
              </w:rPr>
              <w:t xml:space="preserve">Gross profit as a percentage of sales</w:t>
            </w:r>
          </w:p>
        </w:tc>
        <w:tc>
          <w:tcPr>
            <w:tcW w:type="pct" w:w="2388"/>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expense   ·   Depreciation expense   ·   Sales revenue   ·   Net income   ·   Operating income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other income and expense   ·   earnings per share (EPS)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analyzes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earnings per share (EPS)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longer has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item, such as a large fire loss, is shown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within continuing operations, before tax. </w:t>
      </w:r>
      <w:r>
        <w:rPr>
          <w:sz w:val="19"/>
          <w:szCs w:val="19"/>
        </w:rPr>
        <w:t xml:space="preserve">It is never shown net of tax. </w:t>
      </w:r>
      <w:r>
        <w:rPr>
          <w:sz w:val="19"/>
          <w:szCs w:val="19"/>
        </w:rPr>
        <w:t xml:space="preserve">A discontinued operation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shift with a major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leaving a major line of business or a major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area. </w:t>
      </w:r>
      <w:r>
        <w:rPr>
          <w:sz w:val="19"/>
          <w:szCs w:val="19"/>
        </w:rPr>
        <w:t xml:space="preserve">Closing one store or stopping one small product does not qualify. </w:t>
      </w:r>
      <w:r>
        <w:rPr>
          <w:sz w:val="19"/>
          <w:szCs w:val="19"/>
        </w:rPr>
        <w:t xml:space="preserve">The results of a discontinued operation, including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   geographic   ·   Examples   ·   happen   ·   disposal   ·   removed   ·   infrequent   ·   attention   ·   separate   ·   effect   ·   strategic   ·   component   ·   classified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930"/>
        <w:gridCol w:w="1516"/>
        <w:gridCol w:w="193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790"/>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05"/>
            <w:tcMar>
              <w:top w:type="dxa" w:w="50"/>
              <w:left w:type="dxa" w:w="110"/>
              <w:bottom w:type="dxa" w:w="50"/>
              <w:right w:type="dxa" w:w="110"/>
            </w:tcMar>
          </w:tcPr>
          <w:p>
            <w:pPr>
              <w:spacing w:before="28" w:after="28"/>
            </w:pPr>
            <w:r>
              <w:rPr>
                <w:sz w:val="15"/>
                <w:szCs w:val="15"/>
              </w:rPr>
              <w:t xml:space="preserve">(420,000)</w:t>
            </w:r>
          </w:p>
        </w:tc>
        <w:tc>
          <w:tcPr>
            <w:tcW w:type="pct" w:w="790"/>
            <w:tcMar>
              <w:top w:type="dxa" w:w="50"/>
              <w:left w:type="dxa" w:w="110"/>
              <w:bottom w:type="dxa" w:w="50"/>
              <w:right w:type="dxa" w:w="110"/>
            </w:tcMar>
          </w:tcPr>
          <w:p>
            <w:pPr>
              <w:spacing w:before="28" w:after="28"/>
            </w:pPr>
            <w:r>
              <w:rPr>
                <w:sz w:val="15"/>
                <w:szCs w:val="15"/>
              </w:rPr>
              <w:t xml:space="preserve">105,000</w:t>
            </w:r>
          </w:p>
        </w:tc>
        <w:tc>
          <w:tcPr>
            <w:tcW w:type="pct" w:w="1005"/>
            <w:tcMar>
              <w:top w:type="dxa" w:w="50"/>
              <w:left w:type="dxa" w:w="110"/>
              <w:bottom w:type="dxa" w:w="50"/>
              <w:right w:type="dxa" w:w="110"/>
            </w:tcMar>
          </w:tcPr>
          <w:p>
            <w:pPr>
              <w:spacing w:before="28" w:after="28"/>
            </w:pPr>
            <w:r>
              <w:rPr>
                <w:sz w:val="15"/>
                <w:szCs w:val="15"/>
              </w:rPr>
              <w:t xml:space="preserve">(315,000)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Loss on disposal of the business</w:t>
            </w:r>
          </w:p>
        </w:tc>
        <w:tc>
          <w:tcPr>
            <w:tcW w:type="pct" w:w="1005"/>
            <w:shd w:fill="FBFAF6" w:val="clear"/>
            <w:tcMar>
              <w:top w:type="dxa" w:w="50"/>
              <w:left w:type="dxa" w:w="110"/>
              <w:bottom w:type="dxa" w:w="50"/>
              <w:right w:type="dxa" w:w="110"/>
            </w:tcMar>
          </w:tcPr>
          <w:p>
            <w:pPr>
              <w:spacing w:before="28" w:after="28"/>
            </w:pPr>
            <w:r>
              <w:rPr>
                <w:sz w:val="15"/>
                <w:szCs w:val="15"/>
              </w:rPr>
              <w:t xml:space="preserve">(180,000)</w:t>
            </w:r>
          </w:p>
        </w:tc>
        <w:tc>
          <w:tcPr>
            <w:tcW w:type="pct" w:w="790"/>
            <w:shd w:fill="FBFAF6" w:val="clear"/>
            <w:tcMar>
              <w:top w:type="dxa" w:w="50"/>
              <w:left w:type="dxa" w:w="110"/>
              <w:bottom w:type="dxa" w:w="50"/>
              <w:right w:type="dxa" w:w="110"/>
            </w:tcMar>
          </w:tcPr>
          <w:p>
            <w:pPr>
              <w:spacing w:before="28" w:after="28"/>
            </w:pPr>
            <w:r>
              <w:rPr>
                <w:sz w:val="15"/>
                <w:szCs w:val="15"/>
              </w:rPr>
              <w:t xml:space="preserve">45,000</w:t>
            </w:r>
          </w:p>
        </w:tc>
        <w:tc>
          <w:tcPr>
            <w:tcW w:type="pct" w:w="1005"/>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05"/>
            <w:tcMar>
              <w:top w:type="dxa" w:w="50"/>
              <w:left w:type="dxa" w:w="110"/>
              <w:bottom w:type="dxa" w:w="50"/>
              <w:right w:type="dxa" w:w="110"/>
            </w:tcMar>
          </w:tcPr>
          <w:p>
            <w:pPr>
              <w:spacing w:before="28" w:after="28"/>
            </w:pPr>
            <w:r>
              <w:rPr>
                <w:sz w:val="15"/>
                <w:szCs w:val="15"/>
              </w:rPr>
              <w:t xml:space="preserve">(600,000)</w:t>
            </w:r>
          </w:p>
        </w:tc>
        <w:tc>
          <w:tcPr>
            <w:tcW w:type="pct" w:w="790"/>
            <w:tcMar>
              <w:top w:type="dxa" w:w="50"/>
              <w:left w:type="dxa" w:w="110"/>
              <w:bottom w:type="dxa" w:w="50"/>
              <w:right w:type="dxa" w:w="110"/>
            </w:tcMar>
          </w:tcPr>
          <w:p>
            <w:pPr>
              <w:spacing w:before="28" w:after="28"/>
            </w:pPr>
            <w:r>
              <w:rPr>
                <w:sz w:val="15"/>
                <w:szCs w:val="15"/>
              </w:rPr>
              <w:t xml:space="preserve">150,000</w:t>
            </w:r>
          </w:p>
        </w:tc>
        <w:tc>
          <w:tcPr>
            <w:tcW w:type="pct" w:w="1005"/>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of an entity   ·   Loss from discontinued operations   ·   Loss from operations of the frozen-foods business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Older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show earthquakes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exam, such an item is unusual 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 separate pre-tax line in continuing operations. </w:t>
      </w:r>
      <w:r>
        <w:rPr>
          <w:sz w:val="19"/>
          <w:szCs w:val="19"/>
        </w:rPr>
        <w:t xml:space="preserve">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operations are shown net of tax below continuing operations. </w:t>
      </w:r>
      <w:r>
        <w:rPr>
          <w:sz w:val="19"/>
          <w:szCs w:val="19"/>
        </w:rPr>
        <w:t xml:space="preserve">IFRS 5 uses a similar idea: a separate major line of business or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area. </w:t>
      </w:r>
      <w:r>
        <w:rPr>
          <w:sz w:val="19"/>
          <w:szCs w:val="19"/>
        </w:rPr>
        <w:t xml:space="preserve">IFRS also prohibits extraordinary items, so the two frameworks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results   ·   textbooks   ·   expropriations   ·   discontinued   ·   infrequent   ·   today's   ·   geographic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component of an entity   ·   unusual or infrequent item   ·   other income and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 from operations of the frozen-foods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Loss from 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extraordinary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textbooks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infrequent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from continuing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unusual or infrequent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geographic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realized. </w:t>
      </w:r>
      <w:r>
        <w:rPr>
          <w:sz w:val="19"/>
          <w:szCs w:val="19"/>
        </w:rPr>
        <w:t xml:space="preserve">Comprehensive income is net income plus OCI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OCI builds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equity called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other comprehensive income (AOCI). </w:t>
      </w:r>
      <w:r>
        <w:rPr>
          <w:sz w:val="19"/>
          <w:szCs w:val="19"/>
        </w:rPr>
        <w:t xml:space="preserve">When an item is realized, for example when Orontes sells an AFS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or loss moves from AOCI into net income. </w:t>
      </w:r>
      <w:r>
        <w:rPr>
          <w:sz w:val="19"/>
          <w:szCs w:val="19"/>
        </w:rPr>
        <w:t xml:space="preserve">This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adjustment stops the same gain being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through   ·   counted   ·   Showing   ·   accumulated   ·   security   ·   continuous   ·   balance   ·   consecutive   ·   period   ·   reclassification   ·   available-for-sale</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Revaluation surplus in OCI; never reclassified   ·   OCI; reclassified when the foreign operation is sold   ·   OCI; amortized into net income later   ·   OCI; reclassified to net income on sale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reclassifies   ·   investments   ·   remeasurements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Comprehensive income adds this year's OCI, not the AOCI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balance   ·   through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الدخل الشامل الآخر المتراكم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reclassified to net income on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OCI; reclassified when the foreign operation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OCI; amortized into net income later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other comprehensive income (AOCI)</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useful lives, credit losses,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FIFO or LIFO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Two similar companies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report different profits from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income statement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value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such as research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near the year-end. </w:t>
      </w:r>
      <w:r>
        <w:rPr>
          <w:sz w:val="19"/>
          <w:szCs w:val="19"/>
        </w:rPr>
        <w:t xml:space="preserve">Most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net income is not cash. </w:t>
      </w:r>
      <w:r>
        <w:rPr>
          <w:sz w:val="19"/>
          <w:szCs w:val="19"/>
        </w:rPr>
        <w:t xml:space="preserve">Accrual accounting records revenue when it is earned and expenses when they are incurred. </w:t>
      </w:r>
      <w:r>
        <w:rPr>
          <w:sz w:val="19"/>
          <w:szCs w:val="19"/>
        </w:rPr>
        <w:t xml:space="preserve">Depreciation and impairments of $4,824,000 reduced income but used no cash in 2025. </w:t>
      </w:r>
      <w:r>
        <w:rPr>
          <w:sz w:val="19"/>
          <w:szCs w:val="19"/>
        </w:rPr>
        <w:t xml:space="preserve">Net income then moves to the statement of changes in equity, where it increases retained earnings. </w:t>
      </w:r>
      <w:r>
        <w:rPr>
          <w:sz w:val="19"/>
          <w:szCs w:val="19"/>
        </w:rPr>
        <w:t xml:space="preserve">In the statement of cash flows, the indirect method starts from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leaves   ·   Accrual   ·   impairment   ·   Orontes's   ·   importantly   ·   activity   ·   estimates   ·   increase   ·   inventory   ·   advertising   ·   methods   ·   discretionary</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ASU 2024-03 (DISE) requires public companies to break down some expense captions in the notes, such as employee pay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face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does not change. </w:t>
      </w:r>
      <w:r>
        <w:rPr>
          <w:sz w:val="19"/>
          <w:szCs w:val="19"/>
        </w:rPr>
        <w:t xml:space="preserve">IFRS 18 replaces IAS 1 and adds required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Not result in general.S.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category   ·   depreciation   ·   subtotals   ·   testable   ·   expenses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86"/>
        <w:gridCol w:w="501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Amount / details</w:t>
            </w:r>
          </w:p>
        </w:tc>
      </w:tr>
      <w:tr>
        <w:tc>
          <w:tcPr>
            <w:tcW w:type="pct" w:w="2389"/>
            <w:shd w:fill="353A7C" w:val="clear"/>
            <w:tcMar>
              <w:top w:type="dxa" w:w="50"/>
              <w:left w:type="dxa" w:w="110"/>
              <w:bottom w:type="dxa" w:w="50"/>
              <w:right w:type="dxa" w:w="110"/>
            </w:tcMar>
          </w:tcPr>
          <w:p>
            <w:pPr>
              <w:spacing w:before="30" w:after="30"/>
            </w:pPr>
            <w:r>
              <w:rPr>
                <w:b/>
                <w:bCs/>
                <w:color w:val="FFFFFF"/>
                <w:sz w:val="15"/>
                <w:szCs w:val="15"/>
              </w:rPr>
              <w:t xml:space="preserve">Item / memo (USD 000)</w:t>
            </w:r>
          </w:p>
        </w:tc>
        <w:tc>
          <w:tcPr>
            <w:tcW w:type="pct" w:w="2611"/>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389"/>
            <w:tcMar>
              <w:top w:type="dxa" w:w="50"/>
              <w:left w:type="dxa" w:w="110"/>
              <w:bottom w:type="dxa" w:w="50"/>
              <w:right w:type="dxa" w:w="110"/>
            </w:tcMar>
          </w:tcPr>
          <w:p>
            <w:pPr>
              <w:spacing w:before="28" w:after="28"/>
            </w:pPr>
            <w:r>
              <w:rPr>
                <w:sz w:val="15"/>
                <w:szCs w:val="15"/>
              </w:rPr>
              <w:t xml:space="preserve">Net sales</w:t>
            </w:r>
          </w:p>
        </w:tc>
        <w:tc>
          <w:tcPr>
            <w:tcW w:type="pct" w:w="2611"/>
            <w:tcMar>
              <w:top w:type="dxa" w:w="50"/>
              <w:left w:type="dxa" w:w="110"/>
              <w:bottom w:type="dxa" w:w="50"/>
              <w:right w:type="dxa" w:w="110"/>
            </w:tcMar>
          </w:tcPr>
          <w:p>
            <w:pPr>
              <w:spacing w:before="28" w:after="28"/>
            </w:pPr>
            <w:r>
              <w:rPr>
                <w:sz w:val="15"/>
                <w:szCs w:val="15"/>
              </w:rPr>
              <w:t xml:space="preserve">3,400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11"/>
            <w:shd w:fill="FBFAF6" w:val="clear"/>
            <w:tcMar>
              <w:top w:type="dxa" w:w="50"/>
              <w:left w:type="dxa" w:w="110"/>
              <w:bottom w:type="dxa" w:w="50"/>
              <w:right w:type="dxa" w:w="110"/>
            </w:tcMar>
          </w:tcPr>
          <w:p>
            <w:pPr>
              <w:spacing w:before="28" w:after="28"/>
            </w:pPr>
            <w:r>
              <w:rPr>
                <w:sz w:val="15"/>
                <w:szCs w:val="15"/>
              </w:rPr>
              <w:t xml:space="preserve">2,040</w:t>
            </w:r>
          </w:p>
        </w:tc>
      </w:tr>
      <w:tr>
        <w:tc>
          <w:tcPr>
            <w:tcW w:type="pct" w:w="2389"/>
            <w:tcMar>
              <w:top w:type="dxa" w:w="50"/>
              <w:left w:type="dxa" w:w="110"/>
              <w:bottom w:type="dxa" w:w="50"/>
              <w:right w:type="dxa" w:w="110"/>
            </w:tcMar>
          </w:tcPr>
          <w:p>
            <w:pPr>
              <w:spacing w:before="28" w:after="28"/>
            </w:pPr>
            <w:r>
              <w:rPr>
                <w:sz w:val="15"/>
                <w:szCs w:val="15"/>
              </w:rPr>
              <w:t xml:space="preserve">Wages expense</w:t>
            </w:r>
          </w:p>
        </w:tc>
        <w:tc>
          <w:tcPr>
            <w:tcW w:type="pct" w:w="2611"/>
            <w:tcMar>
              <w:top w:type="dxa" w:w="50"/>
              <w:left w:type="dxa" w:w="110"/>
              <w:bottom w:type="dxa" w:w="50"/>
              <w:right w:type="dxa" w:w="110"/>
            </w:tcMar>
          </w:tcPr>
          <w:p>
            <w:pPr>
              <w:spacing w:before="28" w:after="28"/>
            </w:pPr>
            <w:r>
              <w:rPr>
                <w:sz w:val="15"/>
                <w:szCs w:val="15"/>
              </w:rPr>
              <w:t xml:space="preserve">560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Depreciation expense</w:t>
            </w:r>
          </w:p>
        </w:tc>
        <w:tc>
          <w:tcPr>
            <w:tcW w:type="pct" w:w="2611"/>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389"/>
            <w:tcMar>
              <w:top w:type="dxa" w:w="50"/>
              <w:left w:type="dxa" w:w="110"/>
              <w:bottom w:type="dxa" w:w="50"/>
              <w:right w:type="dxa" w:w="110"/>
            </w:tcMar>
          </w:tcPr>
          <w:p>
            <w:pPr>
              <w:spacing w:before="28" w:after="28"/>
            </w:pPr>
            <w:r>
              <w:rPr>
                <w:sz w:val="15"/>
                <w:szCs w:val="15"/>
              </w:rPr>
              <w:t xml:space="preserve">Fire loss (uninsured inventory)</w:t>
            </w:r>
          </w:p>
        </w:tc>
        <w:tc>
          <w:tcPr>
            <w:tcW w:type="pct" w:w="2611"/>
            <w:tcMar>
              <w:top w:type="dxa" w:w="50"/>
              <w:left w:type="dxa" w:w="110"/>
              <w:bottom w:type="dxa" w:w="50"/>
              <w:right w:type="dxa" w:w="110"/>
            </w:tcMar>
          </w:tcPr>
          <w:p>
            <w:pPr>
              <w:spacing w:before="28" w:after="28"/>
            </w:pPr>
            <w:r>
              <w:rPr>
                <w:sz w:val="15"/>
                <w:szCs w:val="15"/>
              </w:rPr>
              <w:t xml:space="preserve">70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Lawsuit settlement</w:t>
            </w:r>
          </w:p>
        </w:tc>
        <w:tc>
          <w:tcPr>
            <w:tcW w:type="pct" w:w="2611"/>
            <w:shd w:fill="FBFAF6" w:val="clear"/>
            <w:tcMar>
              <w:top w:type="dxa" w:w="50"/>
              <w:left w:type="dxa" w:w="110"/>
              <w:bottom w:type="dxa" w:w="50"/>
              <w:right w:type="dxa" w:w="110"/>
            </w:tcMar>
          </w:tcPr>
          <w:p>
            <w:pPr>
              <w:spacing w:before="28" w:after="28"/>
            </w:pPr>
            <w:r>
              <w:rPr>
                <w:sz w:val="15"/>
                <w:szCs w:val="15"/>
              </w:rPr>
              <w:t xml:space="preserve">50</w:t>
            </w:r>
          </w:p>
        </w:tc>
      </w:tr>
      <w:tr>
        <w:tc>
          <w:tcPr>
            <w:tcW w:type="pct" w:w="2389"/>
            <w:tcMar>
              <w:top w:type="dxa" w:w="50"/>
              <w:left w:type="dxa" w:w="110"/>
              <w:bottom w:type="dxa" w:w="50"/>
              <w:right w:type="dxa" w:w="110"/>
            </w:tcMar>
          </w:tcPr>
          <w:p>
            <w:pPr>
              <w:spacing w:before="28" w:after="28"/>
            </w:pPr>
            <w:r>
              <w:rPr>
                <w:sz w:val="15"/>
                <w:szCs w:val="15"/>
              </w:rPr>
              <w:t xml:space="preserve">Interest expense</w:t>
            </w:r>
          </w:p>
        </w:tc>
        <w:tc>
          <w:tcPr>
            <w:tcW w:type="pct" w:w="2611"/>
            <w:tcMar>
              <w:top w:type="dxa" w:w="50"/>
              <w:left w:type="dxa" w:w="110"/>
              <w:bottom w:type="dxa" w:w="50"/>
              <w:right w:type="dxa" w:w="110"/>
            </w:tcMar>
          </w:tcPr>
          <w:p>
            <w:pPr>
              <w:spacing w:before="28" w:after="28"/>
            </w:pPr>
            <w:r>
              <w:rPr>
                <w:sz w:val="15"/>
                <w:szCs w:val="15"/>
              </w:rPr>
              <w:t xml:space="preserve">80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611"/>
            <w:shd w:fill="FBFAF6" w:val="clear"/>
            <w:tcMar>
              <w:top w:type="dxa" w:w="50"/>
              <w:left w:type="dxa" w:w="110"/>
              <w:bottom w:type="dxa" w:w="50"/>
              <w:right w:type="dxa" w:w="110"/>
            </w:tcMar>
          </w:tcPr>
          <w:p>
            <w:pPr>
              <w:spacing w:before="28" w:after="28"/>
            </w:pPr>
            <w:r>
              <w:rPr>
                <w:sz w:val="15"/>
                <w:szCs w:val="15"/>
              </w:rPr>
              <w:t xml:space="preserve">20</w:t>
            </w:r>
          </w:p>
        </w:tc>
      </w:tr>
      <w:tr>
        <w:tc>
          <w:tcPr>
            <w:tcW w:type="pct" w:w="2389"/>
            <w:tcMar>
              <w:top w:type="dxa" w:w="50"/>
              <w:left w:type="dxa" w:w="110"/>
              <w:bottom w:type="dxa" w:w="50"/>
              <w:right w:type="dxa" w:w="110"/>
            </w:tcMar>
          </w:tcPr>
          <w:p>
            <w:pPr>
              <w:spacing w:before="28" w:after="28"/>
            </w:pPr>
            <w:r>
              <w:rPr>
                <w:sz w:val="15"/>
                <w:szCs w:val="15"/>
              </w:rPr>
              <w:t xml:space="preserve">M1</w:t>
            </w:r>
          </w:p>
        </w:tc>
        <w:tc>
          <w:tcPr>
            <w:tcW w:type="pct" w:w="2611"/>
            <w:tcMar>
              <w:top w:type="dxa" w:w="50"/>
              <w:left w:type="dxa" w:w="110"/>
              <w:bottom w:type="dxa" w:w="50"/>
              <w:right w:type="dxa" w:w="110"/>
            </w:tcMar>
          </w:tcPr>
          <w:p>
            <w:pPr>
              <w:spacing w:before="28" w:after="28"/>
            </w:pPr>
            <w:r>
              <w:rPr>
                <w:sz w:val="15"/>
                <w:szCs w:val="15"/>
              </w:rPr>
              <w:t xml:space="preserve">In August 2026 Barada sold its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division to focus only on wholesale food. The division was one of Barada's two lines of busin</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M2</w:t>
            </w:r>
          </w:p>
        </w:tc>
        <w:tc>
          <w:tcPr>
            <w:tcW w:type="pct" w:w="2611"/>
            <w:shd w:fill="FBFAF6" w:val="clear"/>
            <w:tcMar>
              <w:top w:type="dxa" w:w="50"/>
              <w:left w:type="dxa" w:w="110"/>
              <w:bottom w:type="dxa" w:w="50"/>
              <w:right w:type="dxa" w:w="110"/>
            </w:tcMar>
          </w:tcPr>
          <w:p>
            <w:pPr>
              <w:spacing w:before="28" w:after="28"/>
            </w:pPr>
            <w:r>
              <w:rPr>
                <w:sz w:val="15"/>
                <w:szCs w:val="15"/>
              </w:rPr>
              <w:t xml:space="preserve">In 2026 the division had an operating loss of 60 before tax. Barada lost 40 before tax on the sale.</w:t>
            </w:r>
          </w:p>
        </w:tc>
      </w:tr>
      <w:tr>
        <w:tc>
          <w:tcPr>
            <w:tcW w:type="pct" w:w="2389"/>
            <w:tcMar>
              <w:top w:type="dxa" w:w="50"/>
              <w:left w:type="dxa" w:w="110"/>
              <w:bottom w:type="dxa" w:w="50"/>
              <w:right w:type="dxa" w:w="110"/>
            </w:tcMar>
          </w:tcPr>
          <w:p>
            <w:pPr>
              <w:spacing w:before="28" w:after="28"/>
            </w:pPr>
            <w:r>
              <w:rPr>
                <w:sz w:val="15"/>
                <w:szCs w:val="15"/>
              </w:rPr>
              <w:t xml:space="preserve">M3</w:t>
            </w:r>
          </w:p>
        </w:tc>
        <w:tc>
          <w:tcPr>
            <w:tcW w:type="pct" w:w="2611"/>
            <w:tcMar>
              <w:top w:type="dxa" w:w="50"/>
              <w:left w:type="dxa" w:w="110"/>
              <w:bottom w:type="dxa" w:w="50"/>
              <w:right w:type="dxa" w:w="110"/>
            </w:tcMar>
          </w:tcPr>
          <w:p>
            <w:pPr>
              <w:spacing w:before="28" w:after="28"/>
            </w:pPr>
            <w:r>
              <w:rPr>
                <w:sz w:val="15"/>
                <w:szCs w:val="15"/>
              </w:rPr>
              <w:t xml:space="preserve">The fire loss is the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inventory destroyed on February 10, 2026. Fires are unusual for Barada.</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M4</w:t>
            </w:r>
          </w:p>
        </w:tc>
        <w:tc>
          <w:tcPr>
            <w:tcW w:type="pct" w:w="2611"/>
            <w:shd w:fill="FBFAF6" w:val="clear"/>
            <w:tcMar>
              <w:top w:type="dxa" w:w="50"/>
              <w:left w:type="dxa" w:w="110"/>
              <w:bottom w:type="dxa" w:w="50"/>
              <w:right w:type="dxa" w:w="110"/>
            </w:tcMar>
          </w:tcPr>
          <w:p>
            <w:pPr>
              <w:spacing w:before="28" w:after="28"/>
            </w:pPr>
            <w:r>
              <w:rPr>
                <w:sz w:val="15"/>
                <w:szCs w:val="15"/>
              </w:rPr>
              <w:t xml:space="preserve">The income tax rate is 25% on all items. Barada has no other comprehensive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catering-supply   ·   uninsured   ·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Loss on sale of the division   ·   1,240 − 520 − 300 = 420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Lawsuit settlement   ·   Gain on sale of equipment   ·   multi-step income statement</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catering-supply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uninsured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Lawsuit 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importantly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Most importantly, net income is not cash. Accrual accounting records revenue when it is earned and expenses when they are incurred. Depreciation and impairments of $4,824,000 reduced income but used no cash in 2025. Net income then moves to the statement of changes in equity, where it increases retained earnings. In the statement of cash flows, the indirect method starts from net income.</w:t>
      </w:r>
    </w:p>
    <w:p>
      <w:pPr>
        <w:spacing w:before="20" w:after="20"/>
        <w:ind w:left="240" w:hanging="240"/>
      </w:pPr>
      <w:r>
        <w:rPr>
          <w:b/>
          <w:bCs/>
          <w:color w:val="353A7C"/>
          <w:sz w:val="15"/>
          <w:szCs w:val="15"/>
        </w:rPr>
        <w:t xml:space="preserve">Summary 2   </w:t>
      </w:r>
      <w:r>
        <w:rPr>
          <w:color w:val="6B7280"/>
          <w:sz w:val="15"/>
          <w:szCs w:val="15"/>
        </w:rPr>
        <w:t xml:space="preserve">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 Not result in general.S. category.</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1d69923b80bab13723c06a9def44923fee2a422.png" Type="http://schemas.openxmlformats.org/officeDocument/2006/relationships/image"/><Relationship Id="rId102" Target="media/f7f05d536e572afa00a2beade0d626b2ca466cfc.png" Type="http://schemas.openxmlformats.org/officeDocument/2006/relationships/image"/><Relationship Id="rId103" Target="media/4f14cdc56edad9eac44edaee06f5ddfbfa0362b4.png" Type="http://schemas.openxmlformats.org/officeDocument/2006/relationships/image"/><Relationship Id="rId104" Target="media/92e983519e27173f101a38f225c58733cf9262b7.png" Type="http://schemas.openxmlformats.org/officeDocument/2006/relationships/image"/><Relationship Id="rId105" Target="media/74c3341ead4c1174cdd6be8e2f7f4166ec0e3a72.png" Type="http://schemas.openxmlformats.org/officeDocument/2006/relationships/image"/><Relationship Id="rId106" Target="media/82030786494837d1e00a382193d3fee737a62007.png" Type="http://schemas.openxmlformats.org/officeDocument/2006/relationships/image"/><Relationship Id="rId107" Target="media/5f8657749c0b7cca9bff7cd90214cca4deb5c26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3</dc:title>
  <dc:subject>Summary handouts</dc:subject>
  <cp:category>Student Book</cp:category>
</cp:coreProperties>
</file>