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88"/>
        <w:gridCol w:w="451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5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35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35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5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Depreciation</w:t>
            </w:r>
          </w:p>
        </w:tc>
        <w:tc>
          <w:tcPr>
            <w:tcW w:type="pct" w:w="235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50"/>
            <w:tcMar>
              <w:top w:type="dxa" w:w="50"/>
              <w:left w:type="dxa" w:w="110"/>
              <w:bottom w:type="dxa" w:w="50"/>
              <w:right w:type="dxa" w:w="110"/>
            </w:tcMar>
          </w:tcPr>
          <w:p>
            <w:pPr>
              <w:spacing w:before="28" w:after="28"/>
            </w:pPr>
            <w:r>
              <w:rPr>
                <w:sz w:val="15"/>
                <w:szCs w:val="15"/>
              </w:rPr>
              <w:t xml:space="preserve">Impairment losses</w:t>
            </w:r>
          </w:p>
        </w:tc>
        <w:tc>
          <w:tcPr>
            <w:tcW w:type="pct" w:w="2350"/>
            <w:tcMar>
              <w:top w:type="dxa" w:w="50"/>
              <w:left w:type="dxa" w:w="110"/>
              <w:bottom w:type="dxa" w:w="50"/>
              <w:right w:type="dxa" w:w="110"/>
            </w:tcMar>
          </w:tcPr>
          <w:p>
            <w:pPr>
              <w:spacing w:before="28" w:after="28"/>
            </w:pPr>
            <w:r>
              <w:rPr>
                <w:sz w:val="15"/>
                <w:szCs w:val="15"/>
              </w:rPr>
              <w:t xml:space="preserve">2,724,000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35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5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350"/>
            <w:tcMar>
              <w:top w:type="dxa" w:w="50"/>
              <w:left w:type="dxa" w:w="110"/>
              <w:bottom w:type="dxa" w:w="50"/>
              <w:right w:type="dxa" w:w="110"/>
            </w:tcMar>
          </w:tcPr>
          <w:p>
            <w:pPr>
              <w:spacing w:before="28" w:after="28"/>
            </w:pPr>
            <w:r>
              <w:rPr>
                <w:sz w:val="15"/>
                <w:szCs w:val="15"/>
              </w:rPr>
              <w:t xml:space="preserve">70,000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35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50"/>
            <w:tcMar>
              <w:top w:type="dxa" w:w="50"/>
              <w:left w:type="dxa" w:w="110"/>
              <w:bottom w:type="dxa" w:w="50"/>
              <w:right w:type="dxa" w:w="110"/>
            </w:tcMar>
          </w:tcPr>
          <w:p>
            <w:pPr>
              <w:spacing w:before="28" w:after="28"/>
            </w:pPr>
            <w:r>
              <w:rPr>
                <w:sz w:val="15"/>
                <w:szCs w:val="15"/>
              </w:rPr>
              <w:t xml:space="preserve">(4,000)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35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50"/>
            <w:tcMar>
              <w:top w:type="dxa" w:w="50"/>
              <w:left w:type="dxa" w:w="110"/>
              <w:bottom w:type="dxa" w:w="50"/>
              <w:right w:type="dxa" w:w="110"/>
            </w:tcMar>
          </w:tcPr>
          <w:p>
            <w:pPr>
              <w:spacing w:before="28" w:after="28"/>
            </w:pPr>
            <w:r>
              <w:rPr>
                <w:sz w:val="15"/>
                <w:szCs w:val="15"/>
              </w:rPr>
              <w:t xml:space="preserve">(384,000)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tcMar>
              <w:top w:type="dxa" w:w="50"/>
              <w:left w:type="dxa" w:w="110"/>
              <w:bottom w:type="dxa" w:w="50"/>
              <w:right w:type="dxa" w:w="110"/>
            </w:tcMar>
          </w:tcPr>
          <w:p>
            <w:pPr>
              <w:spacing w:before="28" w:after="28"/>
            </w:pPr>
            <w:r>
              <w:rPr>
                <w:sz w:val="15"/>
                <w:szCs w:val="15"/>
              </w:rPr>
              <w:t xml:space="preserve">Increase in prepaid expenses</w:t>
            </w:r>
          </w:p>
        </w:tc>
        <w:tc>
          <w:tcPr>
            <w:tcW w:type="pct" w:w="2350"/>
            <w:tcMar>
              <w:top w:type="dxa" w:w="50"/>
              <w:left w:type="dxa" w:w="110"/>
              <w:bottom w:type="dxa" w:w="50"/>
              <w:right w:type="dxa" w:w="110"/>
            </w:tcMar>
          </w:tcPr>
          <w:p>
            <w:pPr>
              <w:spacing w:before="28" w:after="28"/>
            </w:pPr>
            <w:r>
              <w:rPr>
                <w:sz w:val="15"/>
                <w:szCs w:val="15"/>
              </w:rPr>
              <w:t xml:space="preserve">(24,000)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5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350"/>
            <w:tcMar>
              <w:top w:type="dxa" w:w="50"/>
              <w:left w:type="dxa" w:w="110"/>
              <w:bottom w:type="dxa" w:w="50"/>
              <w:right w:type="dxa" w:w="110"/>
            </w:tcMar>
          </w:tcPr>
          <w:p>
            <w:pPr>
              <w:spacing w:before="28" w:after="28"/>
            </w:pPr>
            <w:r>
              <w:rPr>
                <w:sz w:val="15"/>
                <w:szCs w:val="15"/>
              </w:rPr>
              <w:t xml:space="preserve">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Increase in contract liabilities</w:t>
            </w:r>
          </w:p>
        </w:tc>
        <w:tc>
          <w:tcPr>
            <w:tcW w:type="pct" w:w="2350"/>
            <w:tcMar>
              <w:top w:type="dxa" w:w="50"/>
              <w:left w:type="dxa" w:w="110"/>
              <w:bottom w:type="dxa" w:w="50"/>
              <w:right w:type="dxa" w:w="110"/>
            </w:tcMar>
          </w:tcPr>
          <w:p>
            <w:pPr>
              <w:spacing w:before="28" w:after="28"/>
            </w:pPr>
            <w:r>
              <w:rPr>
                <w:sz w:val="15"/>
                <w:szCs w:val="15"/>
              </w:rPr>
              <w:t xml:space="preserve">60,000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50"/>
            <w:tcMar>
              <w:top w:type="dxa" w:w="50"/>
              <w:left w:type="dxa" w:w="110"/>
              <w:bottom w:type="dxa" w:w="50"/>
              <w:right w:type="dxa" w:w="110"/>
            </w:tcMar>
          </w:tcPr>
          <w:p>
            <w:pPr>
              <w:spacing w:before="28" w:after="28"/>
            </w:pPr>
            <w:r>
              <w:rPr>
                <w:sz w:val="15"/>
                <w:szCs w:val="15"/>
              </w:rPr>
              <w:t xml:space="preserve">Cash flows from investing activities</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35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50"/>
            <w:tcMar>
              <w:top w:type="dxa" w:w="50"/>
              <w:left w:type="dxa" w:w="110"/>
              <w:bottom w:type="dxa" w:w="50"/>
              <w:right w:type="dxa" w:w="110"/>
            </w:tcMar>
          </w:tcPr>
          <w:p>
            <w:pPr>
              <w:spacing w:before="28" w:after="28"/>
            </w:pPr>
            <w:r>
              <w:rPr>
                <w:sz w:val="15"/>
                <w:szCs w:val="15"/>
              </w:rPr>
              <w:t xml:space="preserve">Proceeds from sale of equipment</w:t>
            </w:r>
          </w:p>
        </w:tc>
        <w:tc>
          <w:tcPr>
            <w:tcW w:type="pct" w:w="2350"/>
            <w:tcMar>
              <w:top w:type="dxa" w:w="50"/>
              <w:left w:type="dxa" w:w="110"/>
              <w:bottom w:type="dxa" w:w="50"/>
              <w:right w:type="dxa" w:w="110"/>
            </w:tcMar>
          </w:tcPr>
          <w:p>
            <w:pPr>
              <w:spacing w:before="28" w:after="28"/>
            </w:pPr>
            <w:r>
              <w:rPr>
                <w:sz w:val="15"/>
                <w:szCs w:val="15"/>
              </w:rPr>
              <w:t xml:space="preserve">21,000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35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5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350"/>
            <w:tcMar>
              <w:top w:type="dxa" w:w="50"/>
              <w:left w:type="dxa" w:w="110"/>
              <w:bottom w:type="dxa" w:w="50"/>
              <w:right w:type="dxa" w:w="110"/>
            </w:tcMar>
          </w:tcPr>
          <w:p>
            <w:pPr>
              <w:spacing w:before="28" w:after="28"/>
            </w:pPr>
            <w:r>
              <w:rPr>
                <w:sz w:val="15"/>
                <w:szCs w:val="15"/>
              </w:rPr>
              <w:t xml:space="preserve">(4,179,000)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350"/>
            <w:tcMar>
              <w:top w:type="dxa" w:w="50"/>
              <w:left w:type="dxa" w:w="110"/>
              <w:bottom w:type="dxa" w:w="50"/>
              <w:right w:type="dxa" w:w="110"/>
            </w:tcMar>
          </w:tcPr>
          <w:p>
            <w:pPr>
              <w:spacing w:before="28" w:after="28"/>
            </w:pPr>
            <w:r>
              <w:rPr>
                <w:sz w:val="15"/>
                <w:szCs w:val="15"/>
              </w:rPr>
              <w:t xml:space="preserve">1,500,000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35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50"/>
            <w:tcMar>
              <w:top w:type="dxa" w:w="50"/>
              <w:left w:type="dxa" w:w="110"/>
              <w:bottom w:type="dxa" w:w="50"/>
              <w:right w:type="dxa" w:w="110"/>
            </w:tcMar>
          </w:tcPr>
          <w:p>
            <w:pPr>
              <w:spacing w:before="28" w:after="28"/>
            </w:pPr>
            <w:r>
              <w:rPr>
                <w:sz w:val="15"/>
                <w:szCs w:val="15"/>
              </w:rPr>
              <w:t xml:space="preserve">Repayment of long-term debt</w:t>
            </w:r>
          </w:p>
        </w:tc>
        <w:tc>
          <w:tcPr>
            <w:tcW w:type="pct" w:w="2350"/>
            <w:tcMar>
              <w:top w:type="dxa" w:w="50"/>
              <w:left w:type="dxa" w:w="110"/>
              <w:bottom w:type="dxa" w:w="50"/>
              <w:right w:type="dxa" w:w="110"/>
            </w:tcMar>
          </w:tcPr>
          <w:p>
            <w:pPr>
              <w:spacing w:before="28" w:after="28"/>
            </w:pPr>
            <w:r>
              <w:rPr>
                <w:sz w:val="15"/>
                <w:szCs w:val="15"/>
              </w:rPr>
              <w:t xml:space="preserve">(400,000)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35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5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350"/>
            <w:tcMar>
              <w:top w:type="dxa" w:w="50"/>
              <w:left w:type="dxa" w:w="110"/>
              <w:bottom w:type="dxa" w:w="50"/>
              <w:right w:type="dxa" w:w="110"/>
            </w:tcMar>
          </w:tcPr>
          <w:p>
            <w:pPr>
              <w:spacing w:before="28" w:after="28"/>
            </w:pPr>
            <w:r>
              <w:rPr>
                <w:sz w:val="15"/>
                <w:szCs w:val="15"/>
              </w:rPr>
              <w:t xml:space="preserve">1,850,000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35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50"/>
            <w:tcMar>
              <w:top w:type="dxa" w:w="50"/>
              <w:left w:type="dxa" w:w="110"/>
              <w:bottom w:type="dxa" w:w="50"/>
              <w:right w:type="dxa" w:w="110"/>
            </w:tcMar>
          </w:tcPr>
          <w:p>
            <w:pPr>
              <w:spacing w:before="28" w:after="28"/>
            </w:pPr>
            <w:r>
              <w:rPr>
                <w:sz w:val="15"/>
                <w:szCs w:val="15"/>
              </w:rPr>
              <w:t xml:space="preserve">Cash, January 1, 2025</w:t>
            </w:r>
          </w:p>
        </w:tc>
        <w:tc>
          <w:tcPr>
            <w:tcW w:type="pct" w:w="2350"/>
            <w:tcMar>
              <w:top w:type="dxa" w:w="50"/>
              <w:left w:type="dxa" w:w="110"/>
              <w:bottom w:type="dxa" w:w="50"/>
              <w:right w:type="dxa" w:w="110"/>
            </w:tcMar>
          </w:tcPr>
          <w:p>
            <w:pPr>
              <w:spacing w:before="28" w:after="28"/>
            </w:pPr>
            <w:r>
              <w:rPr>
                <w:sz w:val="15"/>
                <w:szCs w:val="15"/>
              </w:rPr>
              <w:t xml:space="preserve">2,100,000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35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350"/>
            <w:tcMar>
              <w:top w:type="dxa" w:w="50"/>
              <w:left w:type="dxa" w:w="110"/>
              <w:bottom w:type="dxa" w:w="50"/>
              <w:right w:type="dxa" w:w="110"/>
            </w:tcMar>
          </w:tcPr>
          <w:p>
            <w:pPr>
              <w:spacing w:before="28" w:after="28"/>
            </w:pPr>
            <w:r>
              <w:rPr>
                <w:sz w:val="15"/>
                <w:szCs w:val="15"/>
              </w:rPr>
              <w:t xml:space="preserve"> </w:t>
            </w:r>
          </w:p>
        </w:tc>
      </w:tr>
      <w:tr>
        <w:tc>
          <w:tcPr>
            <w:tcW w:type="pct" w:w="265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35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50"/>
            <w:tcMar>
              <w:top w:type="dxa" w:w="50"/>
              <w:left w:type="dxa" w:w="110"/>
              <w:bottom w:type="dxa" w:w="50"/>
              <w:right w:type="dxa" w:w="110"/>
            </w:tcMar>
          </w:tcPr>
          <w:p>
            <w:pPr>
              <w:spacing w:before="28" w:after="28"/>
            </w:pPr>
            <w:r>
              <w:rPr>
                <w:sz w:val="15"/>
                <w:szCs w:val="15"/>
              </w:rPr>
              <w:t xml:space="preserve">Income taxes paid</w:t>
            </w:r>
          </w:p>
        </w:tc>
        <w:tc>
          <w:tcPr>
            <w:tcW w:type="pct" w:w="2350"/>
            <w:tcMar>
              <w:top w:type="dxa" w:w="50"/>
              <w:left w:type="dxa" w:w="110"/>
              <w:bottom w:type="dxa" w:w="50"/>
              <w:right w:type="dxa" w:w="110"/>
            </w:tcMar>
          </w:tcPr>
          <w:p>
            <w:pPr>
              <w:spacing w:before="28" w:after="28"/>
            </w:pPr>
            <w:r>
              <w:rPr>
                <w:sz w:val="15"/>
                <w:szCs w:val="15"/>
              </w:rPr>
              <w:t xml:space="preserve">839,700</w:t>
            </w:r>
          </w:p>
        </w:tc>
      </w:tr>
      <w:tr>
        <w:tc>
          <w:tcPr>
            <w:tcW w:type="pct" w:w="265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35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Cash flows from operating activities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Cash flows from 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Net income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statement of cash flows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1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16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equity-method   ·   receivables   ·   add back noncash expenses and losses   ·   operating activities</w:t>
            </w:r>
          </w:p>
        </w:tc>
      </w:tr>
    </w:tbl>
    <w:p/>
    <w:p>
      <w:pPr>
        <w:spacing w:before="44" w:after="14"/>
      </w:pPr>
      <w:r>
        <w:rPr>
          <w:b/>
          <w:bCs/>
          <w:color w:val="353A7C"/>
          <w:sz w:val="18"/>
          <w:szCs w:val="18"/>
        </w:rPr>
        <w:t xml:space="preserve">Summary 2</w:t>
      </w:r>
      <w:r>
        <w:rPr>
          <w:color w:val="6B7280"/>
          <w:sz w:val="16"/>
          <w:szCs w:val="16"/>
        </w:rPr>
        <w:t xml:space="preserve">      gaps 6–8</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impairments and deferred taxes, which used no cash: $4,924,000. </w:t>
      </w:r>
      <w:r>
        <w:rPr>
          <w:sz w:val="19"/>
          <w:szCs w:val="19"/>
        </w:rPr>
        <w:t xml:space="preserve">Subtract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changes reduce cash by a net $248,000.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depreciation   ·   Working-capital   ·   equity-method   ·   subtracted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9–11</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statement of cash flows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mislead.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Important   ·   interest   ·   classifications   ·   mislead   ·   manage   ·   impossible   ·   Finally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12–15</w:t>
      </w:r>
    </w:p>
    <w:p>
      <w:pPr>
        <w:spacing w:before="20" w:after="20" w:line="360" w:lineRule="auto"/>
        <w:ind w:left="200"/>
      </w:pPr>
      <w:r>
        <w:rPr>
          <w:sz w:val="19"/>
          <w:szCs w:val="19"/>
        </w:rPr>
        <w:t xml:space="preserve">In August 2026 the FASB proposed new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32"/>
        <w:gridCol w:w="3776"/>
        <w:gridCol w:w="159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4"/>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967"/>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82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Net income</w:t>
            </w:r>
          </w:p>
        </w:tc>
        <w:tc>
          <w:tcPr>
            <w:tcW w:type="pct" w:w="1967"/>
            <w:shd w:fill="FBFAF6" w:val="clear"/>
            <w:tcMar>
              <w:top w:type="dxa" w:w="50"/>
              <w:left w:type="dxa" w:w="110"/>
              <w:bottom w:type="dxa" w:w="50"/>
              <w:right w:type="dxa" w:w="110"/>
            </w:tcMar>
          </w:tcPr>
          <w:p>
            <w:pPr>
              <w:spacing w:before="28" w:after="28"/>
            </w:pPr>
            <w:r>
              <w:rPr>
                <w:sz w:val="15"/>
                <w:szCs w:val="15"/>
              </w:rPr>
              <w:t xml:space="preserve">165</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Depreciation expense</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20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967"/>
            <w:tcMar>
              <w:top w:type="dxa" w:w="50"/>
              <w:left w:type="dxa" w:w="110"/>
              <w:bottom w:type="dxa" w:w="50"/>
              <w:right w:type="dxa" w:w="110"/>
            </w:tcMar>
          </w:tcPr>
          <w:p>
            <w:pPr>
              <w:spacing w:before="28" w:after="28"/>
            </w:pPr>
            <w:r>
              <w:rPr>
                <w:sz w:val="15"/>
                <w:szCs w:val="15"/>
              </w:rPr>
              <w:t xml:space="preserve">40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Balances</w:t>
            </w:r>
          </w:p>
        </w:tc>
        <w:tc>
          <w:tcPr>
            <w:tcW w:type="pct" w:w="1967"/>
            <w:shd w:fill="FBFAF6" w:val="clear"/>
            <w:tcMar>
              <w:top w:type="dxa" w:w="50"/>
              <w:left w:type="dxa" w:w="110"/>
              <w:bottom w:type="dxa" w:w="50"/>
              <w:right w:type="dxa" w:w="110"/>
            </w:tcMar>
          </w:tcPr>
          <w:p>
            <w:pPr>
              <w:spacing w:before="28" w:after="28"/>
            </w:pPr>
            <w:r>
              <w:rPr>
                <w:sz w:val="15"/>
                <w:szCs w:val="15"/>
              </w:rPr>
              <w:t xml:space="preserve"> </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967"/>
            <w:tcMar>
              <w:top w:type="dxa" w:w="50"/>
              <w:left w:type="dxa" w:w="110"/>
              <w:bottom w:type="dxa" w:w="50"/>
              <w:right w:type="dxa" w:w="110"/>
            </w:tcMar>
          </w:tcPr>
          <w:p>
            <w:pPr>
              <w:spacing w:before="28" w:after="28"/>
            </w:pPr>
            <w:r>
              <w:rPr>
                <w:sz w:val="15"/>
                <w:szCs w:val="15"/>
              </w:rPr>
              <w:t xml:space="preserve">280</w:t>
            </w:r>
          </w:p>
        </w:tc>
        <w:tc>
          <w:tcPr>
            <w:tcW w:type="pct" w:w="829"/>
            <w:tcMar>
              <w:top w:type="dxa" w:w="50"/>
              <w:left w:type="dxa" w:w="110"/>
              <w:bottom w:type="dxa" w:w="50"/>
              <w:right w:type="dxa" w:w="110"/>
            </w:tcMar>
          </w:tcPr>
          <w:p>
            <w:pPr>
              <w:spacing w:before="28" w:after="28"/>
            </w:pPr>
            <w:r>
              <w:rPr>
                <w:sz w:val="15"/>
                <w:szCs w:val="15"/>
              </w:rPr>
              <w:t xml:space="preserve">310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967"/>
            <w:shd w:fill="FBFAF6" w:val="clear"/>
            <w:tcMar>
              <w:top w:type="dxa" w:w="50"/>
              <w:left w:type="dxa" w:w="110"/>
              <w:bottom w:type="dxa" w:w="50"/>
              <w:right w:type="dxa" w:w="110"/>
            </w:tcMar>
          </w:tcPr>
          <w:p>
            <w:pPr>
              <w:spacing w:before="28" w:after="28"/>
            </w:pPr>
            <w:r>
              <w:rPr>
                <w:sz w:val="15"/>
                <w:szCs w:val="15"/>
              </w:rPr>
              <w:t xml:space="preserve">420</w:t>
            </w:r>
          </w:p>
        </w:tc>
        <w:tc>
          <w:tcPr>
            <w:tcW w:type="pct" w:w="82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967"/>
            <w:tcMar>
              <w:top w:type="dxa" w:w="50"/>
              <w:left w:type="dxa" w:w="110"/>
              <w:bottom w:type="dxa" w:w="50"/>
              <w:right w:type="dxa" w:w="110"/>
            </w:tcMar>
          </w:tcPr>
          <w:p>
            <w:pPr>
              <w:spacing w:before="28" w:after="28"/>
            </w:pPr>
            <w:r>
              <w:rPr>
                <w:sz w:val="15"/>
                <w:szCs w:val="15"/>
              </w:rPr>
              <w:t xml:space="preserve">24</w:t>
            </w:r>
          </w:p>
        </w:tc>
        <w:tc>
          <w:tcPr>
            <w:tcW w:type="pct" w:w="829"/>
            <w:tcMar>
              <w:top w:type="dxa" w:w="50"/>
              <w:left w:type="dxa" w:w="110"/>
              <w:bottom w:type="dxa" w:w="50"/>
              <w:right w:type="dxa" w:w="110"/>
            </w:tcMar>
          </w:tcPr>
          <w:p>
            <w:pPr>
              <w:spacing w:before="28" w:after="28"/>
            </w:pPr>
            <w:r>
              <w:rPr>
                <w:sz w:val="15"/>
                <w:szCs w:val="15"/>
              </w:rPr>
              <w:t xml:space="preserve">26</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967"/>
            <w:shd w:fill="FBFAF6" w:val="clear"/>
            <w:tcMar>
              <w:top w:type="dxa" w:w="50"/>
              <w:left w:type="dxa" w:w="110"/>
              <w:bottom w:type="dxa" w:w="50"/>
              <w:right w:type="dxa" w:w="110"/>
            </w:tcMar>
          </w:tcPr>
          <w:p>
            <w:pPr>
              <w:spacing w:before="28" w:after="28"/>
            </w:pPr>
            <w:r>
              <w:rPr>
                <w:sz w:val="15"/>
                <w:szCs w:val="15"/>
              </w:rPr>
              <w:t xml:space="preserve">380</w:t>
            </w:r>
          </w:p>
        </w:tc>
        <w:tc>
          <w:tcPr>
            <w:tcW w:type="pct" w:w="82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967"/>
            <w:tcMar>
              <w:top w:type="dxa" w:w="50"/>
              <w:left w:type="dxa" w:w="110"/>
              <w:bottom w:type="dxa" w:w="50"/>
              <w:right w:type="dxa" w:w="110"/>
            </w:tcMar>
          </w:tcPr>
          <w:p>
            <w:pPr>
              <w:spacing w:before="28" w:after="28"/>
            </w:pPr>
            <w:r>
              <w:rPr>
                <w:sz w:val="15"/>
                <w:szCs w:val="15"/>
              </w:rPr>
              <w:t xml:space="preserve">0</w:t>
            </w:r>
          </w:p>
        </w:tc>
        <w:tc>
          <w:tcPr>
            <w:tcW w:type="pct" w:w="829"/>
            <w:tcMar>
              <w:top w:type="dxa" w:w="50"/>
              <w:left w:type="dxa" w:w="110"/>
              <w:bottom w:type="dxa" w:w="50"/>
              <w:right w:type="dxa" w:w="110"/>
            </w:tcMar>
          </w:tcPr>
          <w:p>
            <w:pPr>
              <w:spacing w:before="28" w:after="28"/>
            </w:pPr>
            <w:r>
              <w:rPr>
                <w:sz w:val="15"/>
                <w:szCs w:val="15"/>
              </w:rPr>
              <w:t xml:space="preserve">30</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967"/>
            <w:shd w:fill="FBFAF6" w:val="clear"/>
            <w:tcMar>
              <w:top w:type="dxa" w:w="50"/>
              <w:left w:type="dxa" w:w="110"/>
              <w:bottom w:type="dxa" w:w="50"/>
              <w:right w:type="dxa" w:w="110"/>
            </w:tcMar>
          </w:tcPr>
          <w:p>
            <w:pPr>
              <w:spacing w:before="28" w:after="28"/>
            </w:pPr>
            <w:r>
              <w:rPr>
                <w:sz w:val="15"/>
                <w:szCs w:val="15"/>
              </w:rPr>
              <w:t xml:space="preserve">1,050</w:t>
            </w:r>
          </w:p>
        </w:tc>
        <w:tc>
          <w:tcPr>
            <w:tcW w:type="pct" w:w="82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4"/>
            <w:tcMar>
              <w:top w:type="dxa" w:w="50"/>
              <w:left w:type="dxa" w:w="110"/>
              <w:bottom w:type="dxa" w:w="50"/>
              <w:right w:type="dxa" w:w="110"/>
            </w:tcMar>
          </w:tcPr>
          <w:p>
            <w:pPr>
              <w:spacing w:before="28" w:after="28"/>
            </w:pPr>
            <w:r>
              <w:rPr>
                <w:sz w:val="15"/>
                <w:szCs w:val="15"/>
              </w:rPr>
              <w:t xml:space="preserve">Other 2026 cash information</w:t>
            </w:r>
          </w:p>
        </w:tc>
        <w:tc>
          <w:tcPr>
            <w:tcW w:type="pct" w:w="1967"/>
            <w:tcMar>
              <w:top w:type="dxa" w:w="50"/>
              <w:left w:type="dxa" w:w="110"/>
              <w:bottom w:type="dxa" w:w="50"/>
              <w:right w:type="dxa" w:w="110"/>
            </w:tcMar>
          </w:tcPr>
          <w:p>
            <w:pPr>
              <w:spacing w:before="28" w:after="28"/>
            </w:pPr>
            <w:r>
              <w:rPr>
                <w:sz w:val="15"/>
                <w:szCs w:val="15"/>
              </w:rPr>
              <w:t xml:space="preserve"> </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967"/>
            <w:shd w:fill="FBFAF6" w:val="clear"/>
            <w:tcMar>
              <w:top w:type="dxa" w:w="50"/>
              <w:left w:type="dxa" w:w="110"/>
              <w:bottom w:type="dxa" w:w="50"/>
              <w:right w:type="dxa" w:w="110"/>
            </w:tcMar>
          </w:tcPr>
          <w:p>
            <w:pPr>
              <w:spacing w:before="28" w:after="28"/>
            </w:pPr>
            <w:r>
              <w:rPr>
                <w:sz w:val="15"/>
                <w:szCs w:val="15"/>
              </w:rPr>
              <w:t xml:space="preserve">70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967"/>
            <w:tcMar>
              <w:top w:type="dxa" w:w="50"/>
              <w:left w:type="dxa" w:w="110"/>
              <w:bottom w:type="dxa" w:w="50"/>
              <w:right w:type="dxa" w:w="110"/>
            </w:tcMar>
          </w:tcPr>
          <w:p>
            <w:pPr>
              <w:spacing w:before="28" w:after="28"/>
            </w:pPr>
            <w:r>
              <w:rPr>
                <w:sz w:val="15"/>
                <w:szCs w:val="15"/>
              </w:rPr>
              <w:t xml:space="preserve">150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Note installment repaid (Chapter 2, M1)</w:t>
            </w:r>
          </w:p>
        </w:tc>
        <w:tc>
          <w:tcPr>
            <w:tcW w:type="pct" w:w="1967"/>
            <w:tcMar>
              <w:top w:type="dxa" w:w="50"/>
              <w:left w:type="dxa" w:w="110"/>
              <w:bottom w:type="dxa" w:w="50"/>
              <w:right w:type="dxa" w:w="110"/>
            </w:tcMar>
          </w:tcPr>
          <w:p>
            <w:pPr>
              <w:spacing w:before="28" w:after="28"/>
            </w:pPr>
            <w:r>
              <w:rPr>
                <w:sz w:val="15"/>
                <w:szCs w:val="15"/>
              </w:rPr>
              <w:t xml:space="preserve">300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967"/>
            <w:shd w:fill="FBFAF6" w:val="clear"/>
            <w:tcMar>
              <w:top w:type="dxa" w:w="50"/>
              <w:left w:type="dxa" w:w="110"/>
              <w:bottom w:type="dxa" w:w="50"/>
              <w:right w:type="dxa" w:w="110"/>
            </w:tcMar>
          </w:tcPr>
          <w:p>
            <w:pPr>
              <w:spacing w:before="28" w:after="28"/>
            </w:pPr>
            <w:r>
              <w:rPr>
                <w:sz w:val="15"/>
                <w:szCs w:val="15"/>
              </w:rPr>
              <w:t xml:space="preserve">50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Treasury stock bought (Chapter 4, E1)</w:t>
            </w:r>
          </w:p>
        </w:tc>
        <w:tc>
          <w:tcPr>
            <w:tcW w:type="pct" w:w="1967"/>
            <w:tcMar>
              <w:top w:type="dxa" w:w="50"/>
              <w:left w:type="dxa" w:w="110"/>
              <w:bottom w:type="dxa" w:w="50"/>
              <w:right w:type="dxa" w:w="110"/>
            </w:tcMar>
          </w:tcPr>
          <w:p>
            <w:pPr>
              <w:spacing w:before="28" w:after="28"/>
            </w:pPr>
            <w:r>
              <w:rPr>
                <w:sz w:val="15"/>
                <w:szCs w:val="15"/>
              </w:rPr>
              <w:t xml:space="preserve">480</w:t>
            </w:r>
          </w:p>
        </w:tc>
        <w:tc>
          <w:tcPr>
            <w:tcW w:type="pct" w:w="829"/>
            <w:tcMar>
              <w:top w:type="dxa" w:w="50"/>
              <w:left w:type="dxa" w:w="110"/>
              <w:bottom w:type="dxa" w:w="50"/>
              <w:right w:type="dxa" w:w="110"/>
            </w:tcMar>
          </w:tcPr>
          <w:p>
            <w:pPr>
              <w:spacing w:before="28" w:after="28"/>
            </w:pPr>
            <w:r>
              <w:rPr>
                <w:sz w:val="15"/>
                <w:szCs w:val="15"/>
              </w:rPr>
              <w:t xml:space="preserve"> </w:t>
            </w:r>
          </w:p>
        </w:tc>
      </w:tr>
      <w:tr>
        <w:tc>
          <w:tcPr>
            <w:tcW w:type="pct" w:w="2204"/>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967"/>
            <w:shd w:fill="FBFAF6" w:val="clear"/>
            <w:tcMar>
              <w:top w:type="dxa" w:w="50"/>
              <w:left w:type="dxa" w:w="110"/>
              <w:bottom w:type="dxa" w:w="50"/>
              <w:right w:type="dxa" w:w="110"/>
            </w:tcMar>
          </w:tcPr>
          <w:p>
            <w:pPr>
              <w:spacing w:before="28" w:after="28"/>
            </w:pPr>
            <w:r>
              <w:rPr>
                <w:sz w:val="15"/>
                <w:szCs w:val="15"/>
              </w:rPr>
              <w:t xml:space="preserve">200</w:t>
            </w:r>
          </w:p>
        </w:tc>
        <w:tc>
          <w:tcPr>
            <w:tcW w:type="pct" w:w="82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4"/>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967"/>
            <w:tcMar>
              <w:top w:type="dxa" w:w="50"/>
              <w:left w:type="dxa" w:w="110"/>
              <w:bottom w:type="dxa" w:w="50"/>
              <w:right w:type="dxa" w:w="110"/>
            </w:tcMar>
          </w:tcPr>
          <w:p>
            <w:pPr>
              <w:spacing w:before="28" w:after="28"/>
            </w:pPr>
            <w:r>
              <w:rPr>
                <w:sz w:val="15"/>
                <w:szCs w:val="15"/>
              </w:rPr>
              <w:t xml:space="preserve">121</w:t>
            </w:r>
          </w:p>
        </w:tc>
        <w:tc>
          <w:tcPr>
            <w:tcW w:type="pct" w:w="82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securities.</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Treasury stock reissued (E2 and E3)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cash equivalents   ·   Interest paid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92c109d0ea0802ab67a6498b54bbac5599fdc88b.png" Type="http://schemas.openxmlformats.org/officeDocument/2006/relationships/image"/><Relationship Id="rId102" Target="media/8db2abe1ddbaafa868e515fed5519dfe0d92bc90.png" Type="http://schemas.openxmlformats.org/officeDocument/2006/relationships/image"/><Relationship Id="rId103" Target="media/cc9a644d92103316c913de4bde48f6c0a6ffc573.png" Type="http://schemas.openxmlformats.org/officeDocument/2006/relationships/image"/><Relationship Id="rId104" Target="media/85eabf43db71974cbc38e28059b6e26880a3bf42.png" Type="http://schemas.openxmlformats.org/officeDocument/2006/relationships/image"/><Relationship Id="rId105" Target="media/cd050a3751879b5e2321c2fea9ec57d212e7bf58.png" Type="http://schemas.openxmlformats.org/officeDocument/2006/relationships/image"/><Relationship Id="rId106" Target="media/b61e3922ac6b1dc270b1083c78e292d9f7a6a97f.png" Type="http://schemas.openxmlformats.org/officeDocument/2006/relationships/image"/><Relationship Id="rId107" Target="media/4c78074de345bf2ddc08536468ed0240e014feb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dc:title>
  <dc:subject>Summary handouts</dc:subject>
  <cp:category>Student Book</cp:category>
</cp:coreProperties>
</file>