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FOB destination</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year-end   ·   passes   ·   manufacturer   ·   follows   ·   situations</w:t>
            </w:r>
          </w:p>
        </w:tc>
      </w:tr>
    </w:tbl>
    <w:p/>
    <w:p>
      <w:pPr>
        <w:spacing w:before="44" w:after="14"/>
      </w:pPr>
      <w:r>
        <w:rPr>
          <w:b/>
          <w:bCs/>
          <w:color w:val="353A7C"/>
          <w:sz w:val="18"/>
          <w:szCs w:val="18"/>
        </w:rPr>
        <w:t xml:space="preserve">Summary 2</w:t>
      </w:r>
      <w:r>
        <w:rPr>
          <w:color w:val="6B7280"/>
          <w:sz w:val="16"/>
          <w:szCs w:val="16"/>
        </w:rPr>
        <w:t xml:space="preserve">      gaps 15–23</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Two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cases appear in later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though   ·   transit   ·   chapters   ·   others   ·   physical   ·   somewhere   ·   special   ·   warehouse   ·   consignee   ·   consignor's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FOB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destination   ·   shipping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In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consignee   ·   loading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inventory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unusually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needed   ·   inventoriable   ·   become   ·   recorded   ·   freight-in   ·   condition   ·   direct   ·   expects   ·   unusually   ·   expenses   ·   non-refundable</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In the same way,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waste (unusual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idle time or extra freight) is an expense, not inventory cost. </w:t>
      </w:r>
      <w:r>
        <w:rPr>
          <w:sz w:val="19"/>
          <w:szCs w:val="19"/>
        </w:rPr>
        <w:t xml:space="preserve">Period costs include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customers, sales commissions, advertising, general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and the storage of finished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spoilage   ·   administrative   ·   freight-out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average   ·   invoice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200"/>
            <w:tcMar>
              <w:top w:type="dxa" w:w="50"/>
              <w:left w:type="dxa" w:w="110"/>
              <w:bottom w:type="dxa" w:w="50"/>
              <w:right w:type="dxa" w:w="110"/>
            </w:tcMar>
          </w:tcPr>
          <w:p>
            <w:pPr>
              <w:spacing w:before="28" w:after="28"/>
            </w:pPr>
            <w:r>
              <w:rPr>
                <w:sz w:val="15"/>
                <w:szCs w:val="15"/>
              </w:rPr>
              <w:t xml:space="preserve">Invoice price</w:t>
            </w:r>
          </w:p>
        </w:tc>
        <w:tc>
          <w:tcPr>
            <w:tcW w:type="pct" w:w="758"/>
            <w:tcMar>
              <w:top w:type="dxa" w:w="50"/>
              <w:left w:type="dxa" w:w="110"/>
              <w:bottom w:type="dxa" w:w="50"/>
              <w:right w:type="dxa" w:w="110"/>
            </w:tcMar>
          </w:tcPr>
          <w:p>
            <w:pPr>
              <w:spacing w:before="28" w:after="28"/>
            </w:pPr>
            <w:r>
              <w:rPr>
                <w:sz w:val="15"/>
                <w:szCs w:val="15"/>
              </w:rPr>
              <w:t xml:space="preserve">20,000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758"/>
            <w:shd w:fill="FBFAF6" w:val="clear"/>
            <w:tcMar>
              <w:top w:type="dxa" w:w="50"/>
              <w:left w:type="dxa" w:w="110"/>
              <w:bottom w:type="dxa" w:w="50"/>
              <w:right w:type="dxa" w:w="110"/>
            </w:tcMar>
          </w:tcPr>
          <w:p>
            <w:pPr>
              <w:spacing w:before="28" w:after="28"/>
            </w:pPr>
            <w:r>
              <w:rPr>
                <w:sz w:val="15"/>
                <w:szCs w:val="15"/>
              </w:rPr>
              <w:t xml:space="preserve">(400)</w:t>
            </w:r>
          </w:p>
        </w:tc>
        <w:tc>
          <w:tcPr>
            <w:tcW w:type="pct" w:w="2042"/>
            <w:shd w:fill="FBFAF6" w:val="clear"/>
            <w:tcMar>
              <w:top w:type="dxa" w:w="50"/>
              <w:left w:type="dxa" w:w="110"/>
              <w:bottom w:type="dxa" w:w="50"/>
              <w:right w:type="dxa" w:w="110"/>
            </w:tcMar>
          </w:tcPr>
          <w:p>
            <w:pPr>
              <w:spacing w:before="28" w:after="28"/>
            </w:pPr>
            <w:r>
              <w:rPr>
                <w:sz w:val="15"/>
                <w:szCs w:val="15"/>
              </w:rPr>
              <w:t xml:space="preserve">Yes (reduces cost)</w:t>
            </w:r>
          </w:p>
        </w:tc>
      </w:tr>
      <w:tr>
        <w:tc>
          <w:tcPr>
            <w:tcW w:type="pct" w:w="2200"/>
            <w:tcMar>
              <w:top w:type="dxa" w:w="50"/>
              <w:left w:type="dxa" w:w="110"/>
              <w:bottom w:type="dxa" w:w="50"/>
              <w:right w:type="dxa" w:w="110"/>
            </w:tcMar>
          </w:tcPr>
          <w:p>
            <w:pPr>
              <w:spacing w:before="28" w:after="28"/>
            </w:pPr>
            <w:r>
              <w:rPr>
                <w:sz w:val="15"/>
                <w:szCs w:val="15"/>
              </w:rPr>
              <w:t xml:space="preserve">Freight-in from the port to Amman</w:t>
            </w:r>
          </w:p>
        </w:tc>
        <w:tc>
          <w:tcPr>
            <w:tcW w:type="pct" w:w="758"/>
            <w:tcMar>
              <w:top w:type="dxa" w:w="50"/>
              <w:left w:type="dxa" w:w="110"/>
              <w:bottom w:type="dxa" w:w="50"/>
              <w:right w:type="dxa" w:w="110"/>
            </w:tcMar>
          </w:tcPr>
          <w:p>
            <w:pPr>
              <w:spacing w:before="28" w:after="28"/>
            </w:pPr>
            <w:r>
              <w:rPr>
                <w:sz w:val="15"/>
                <w:szCs w:val="15"/>
              </w:rPr>
              <w:t xml:space="preserve">1,200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758"/>
            <w:shd w:fill="FBFAF6" w:val="clear"/>
            <w:tcMar>
              <w:top w:type="dxa" w:w="50"/>
              <w:left w:type="dxa" w:w="110"/>
              <w:bottom w:type="dxa" w:w="50"/>
              <w:right w:type="dxa" w:w="110"/>
            </w:tcMar>
          </w:tcPr>
          <w:p>
            <w:pPr>
              <w:spacing w:before="28" w:after="28"/>
            </w:pPr>
            <w:r>
              <w:rPr>
                <w:sz w:val="15"/>
                <w:szCs w:val="15"/>
              </w:rPr>
              <w:t xml:space="preserve">900</w:t>
            </w:r>
          </w:p>
        </w:tc>
        <w:tc>
          <w:tcPr>
            <w:tcW w:type="pct" w:w="2042"/>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2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758"/>
            <w:tcMar>
              <w:top w:type="dxa" w:w="50"/>
              <w:left w:type="dxa" w:w="110"/>
              <w:bottom w:type="dxa" w:w="50"/>
              <w:right w:type="dxa" w:w="110"/>
            </w:tcMar>
          </w:tcPr>
          <w:p>
            <w:pPr>
              <w:spacing w:before="28" w:after="28"/>
            </w:pPr>
            <w:r>
              <w:rPr>
                <w:sz w:val="15"/>
                <w:szCs w:val="15"/>
              </w:rPr>
              <w:t xml:space="preserve">300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758"/>
            <w:shd w:fill="FBFAF6" w:val="clear"/>
            <w:tcMar>
              <w:top w:type="dxa" w:w="50"/>
              <w:left w:type="dxa" w:w="110"/>
              <w:bottom w:type="dxa" w:w="50"/>
              <w:right w:type="dxa" w:w="110"/>
            </w:tcMar>
          </w:tcPr>
          <w:p>
            <w:pPr>
              <w:spacing w:before="28" w:after="28"/>
            </w:pPr>
            <w:r>
              <w:rPr>
                <w:sz w:val="15"/>
                <w:szCs w:val="15"/>
              </w:rPr>
              <w:t xml:space="preserve">700</w:t>
            </w:r>
          </w:p>
        </w:tc>
        <w:tc>
          <w:tcPr>
            <w:tcW w:type="pct" w:w="2042"/>
            <w:shd w:fill="FBFAF6" w:val="clear"/>
            <w:tcMar>
              <w:top w:type="dxa" w:w="50"/>
              <w:left w:type="dxa" w:w="110"/>
              <w:bottom w:type="dxa" w:w="50"/>
              <w:right w:type="dxa" w:w="110"/>
            </w:tcMar>
          </w:tcPr>
          <w:p>
            <w:pPr>
              <w:spacing w:before="28" w:after="28"/>
            </w:pPr>
            <w:r>
              <w:rPr>
                <w:sz w:val="15"/>
                <w:szCs w:val="15"/>
              </w:rPr>
              <w:t xml:space="preserve">No: selling expense</w:t>
            </w:r>
          </w:p>
        </w:tc>
      </w:tr>
      <w:tr>
        <w:tc>
          <w:tcPr>
            <w:tcW w:type="pct" w:w="2200"/>
            <w:tcMar>
              <w:top w:type="dxa" w:w="50"/>
              <w:left w:type="dxa" w:w="110"/>
              <w:bottom w:type="dxa" w:w="50"/>
              <w:right w:type="dxa" w:w="110"/>
            </w:tcMar>
          </w:tcPr>
          <w:p>
            <w:pPr>
              <w:spacing w:before="28" w:after="28"/>
            </w:pPr>
            <w:r>
              <w:rPr>
                <w:sz w:val="15"/>
                <w:szCs w:val="15"/>
              </w:rPr>
              <w:t xml:space="preserve">Storage of finished olive oil</w:t>
            </w:r>
          </w:p>
        </w:tc>
        <w:tc>
          <w:tcPr>
            <w:tcW w:type="pct" w:w="758"/>
            <w:tcMar>
              <w:top w:type="dxa" w:w="50"/>
              <w:left w:type="dxa" w:w="110"/>
              <w:bottom w:type="dxa" w:w="50"/>
              <w:right w:type="dxa" w:w="110"/>
            </w:tcMar>
          </w:tcPr>
          <w:p>
            <w:pPr>
              <w:spacing w:before="28" w:after="28"/>
            </w:pPr>
            <w:r>
              <w:rPr>
                <w:sz w:val="15"/>
                <w:szCs w:val="15"/>
              </w:rPr>
              <w:t xml:space="preserve">250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758"/>
            <w:shd w:fill="FBFAF6" w:val="clear"/>
            <w:tcMar>
              <w:top w:type="dxa" w:w="50"/>
              <w:left w:type="dxa" w:w="110"/>
              <w:bottom w:type="dxa" w:w="50"/>
              <w:right w:type="dxa" w:w="110"/>
            </w:tcMar>
          </w:tcPr>
          <w:p>
            <w:pPr>
              <w:spacing w:before="28" w:after="28"/>
            </w:pPr>
            <w:r>
              <w:rPr>
                <w:sz w:val="15"/>
                <w:szCs w:val="15"/>
              </w:rPr>
              <w:t xml:space="preserve">22,000</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selling expense   ·   No: period cost</w:t>
            </w:r>
          </w:p>
        </w:tc>
      </w:tr>
    </w:tbl>
    <w:p/>
    <w:p>
      <w:pPr>
        <w:spacing w:before="44" w:after="14"/>
      </w:pPr>
      <w:r>
        <w:rPr>
          <w:b/>
          <w:bCs/>
          <w:color w:val="353A7C"/>
          <w:sz w:val="18"/>
          <w:szCs w:val="18"/>
        </w:rPr>
        <w:t xml:space="preserve">Summary 4</w:t>
      </w:r>
      <w:r>
        <w:rPr>
          <w:color w:val="6B7280"/>
          <w:sz w:val="16"/>
          <w:szCs w:val="16"/>
        </w:rPr>
        <w:t xml:space="preserve">      gaps 19–24</w:t>
      </w:r>
    </w:p>
    <w:p>
      <w:pPr>
        <w:spacing w:before="20" w:after="20" w:line="360" w:lineRule="auto"/>
        <w:ind w:left="200"/>
      </w:pPr>
      <w:r>
        <w:rPr>
          <w:sz w:val="19"/>
          <w:szCs w:val="19"/>
        </w:rPr>
        <w:t xml:space="preserve">The two costs 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abnormal waste, storage,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condition   ·   administrative   ·   exclusions   ·   include   ·   bottom   ·   happen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abnormal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freight-out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tracks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of each item. </w:t>
      </w:r>
      <w:r>
        <w:rPr>
          <w:sz w:val="19"/>
          <w:szCs w:val="19"/>
        </w:rPr>
        <w:t xml:space="preserve">It suits unique,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   expensive   ·   first-in   ·   change   ·   Weighted-average   ·   last-in   ·   decision   ·   physical   ·   requires   ·   others   ·   jewelry   ·   identification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Orontes sells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premium   ·   systems   ·   Prices   ·   bought   ·   periodic</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freight-in</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In each row, 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freight-out   ·   different   ·   inventory</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goods available for sale</w:t>
            </w:r>
          </w:p>
        </w:tc>
      </w:tr>
    </w:tbl>
    <w:p/>
    <w:p>
      <w:pPr>
        <w:spacing w:before="44" w:after="14"/>
      </w:pPr>
      <w:r>
        <w:rPr>
          <w:b/>
          <w:bCs/>
          <w:color w:val="353A7C"/>
          <w:sz w:val="18"/>
          <w:szCs w:val="18"/>
        </w:rPr>
        <w:t xml:space="preserve">Summary 4</w:t>
      </w:r>
      <w:r>
        <w:rPr>
          <w:color w:val="6B7280"/>
          <w:sz w:val="16"/>
          <w:szCs w:val="16"/>
        </w:rPr>
        <w:t xml:space="preserve">      gaps 22–28</w:t>
      </w:r>
    </w:p>
    <w:p>
      <w:pPr>
        <w:spacing w:before="20" w:after="20" w:line="360" w:lineRule="auto"/>
        <w:ind w:left="200"/>
      </w:pPr>
      <w:r>
        <w:rPr>
          <w:sz w:val="19"/>
          <w:szCs w:val="19"/>
        </w:rPr>
        <w:t xml:space="preserve">In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inventory system, the company counts the goods at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because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units are always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oldest   ·   November   ·   moving   ·   systems   ·   year-end   ·   average   ·   updates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5</w:t>
      </w:r>
      <w:r>
        <w:rPr>
          <w:color w:val="6B7280"/>
          <w:sz w:val="16"/>
          <w:szCs w:val="16"/>
        </w:rPr>
        <w:t xml:space="preserve">      gaps 29–32</w:t>
      </w:r>
    </w:p>
    <w:p>
      <w:pPr>
        <w:spacing w:before="20" w:after="20" w:line="360" w:lineRule="auto"/>
        <w:ind w:left="200"/>
      </w:pPr>
      <w:r>
        <w:rPr>
          <w:sz w:val="19"/>
          <w:szCs w:val="19"/>
        </w:rPr>
        <w:t xml:space="preserve">The Dubai plant had 3,000 frozen pastry trays available in 2025,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$68,000. </w:t>
      </w:r>
      <w:r>
        <w:rPr>
          <w:sz w:val="19"/>
          <w:szCs w:val="19"/>
        </w:rPr>
        <w:t xml:space="preserve">It sold 2,200 trays. </w:t>
      </w:r>
      <w:r>
        <w:rPr>
          <w:sz w:val="19"/>
          <w:szCs w:val="19"/>
        </w:rPr>
        <w:t xml:space="preserve">Then check that cost of goods sold plus ending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equals the cost of goods available. </w:t>
      </w:r>
      <w:r>
        <w:rPr>
          <w:sz w:val="19"/>
          <w:szCs w:val="19"/>
        </w:rPr>
        <w:t xml:space="preserve">IAS 2 allows FIFO and the weighted average, and it requires specific identification for items that are not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requires   ·   costing   ·   frameworks   ·   interchangeable   ·   inventory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LIFO conformity rule   ·   LIFO (last-in, first-out)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oldest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moving 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LIFO</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methods give 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results. </w:t>
      </w:r>
      <w:r>
        <w:rPr>
          <w:sz w:val="19"/>
          <w:szCs w:val="19"/>
        </w:rPr>
        <w:t xml:space="preserve">FIFO puts the old,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these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reverse. </w:t>
      </w:r>
      <w:r>
        <w:rPr>
          <w:sz w:val="19"/>
          <w:szCs w:val="19"/>
        </w:rPr>
        <w:t xml:space="preserve">Each method has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includes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falling   ·   economic   ·   opposite   ·   cheaper   ·   lowest   ·   strength   ·   profit   ·   relationships   ·   rising   ·   weighted   ·   holding   ·   revenues   ·   different</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results to FIFO with two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rises for one year. </w:t>
      </w:r>
      <w:r>
        <w:rPr>
          <w:sz w:val="19"/>
          <w:szCs w:val="19"/>
        </w:rPr>
        <w:t xml:space="preserve">This is not a lasting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the company should disclose it if it is material.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disclose   ·   Income   ·   low-cost   ·   analyst   ·   started   ·   relationships   ·   illustrative   ·   improvement   ·   during</w:t>
            </w:r>
          </w:p>
        </w:tc>
      </w:tr>
    </w:tbl>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A company that uses LIFO for its tax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low-cost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24–27</w:t>
      </w:r>
    </w:p>
    <w:p>
      <w:pPr>
        <w:spacing w:before="20" w:after="20" w:line="360" w:lineRule="auto"/>
        <w:ind w:left="200"/>
      </w:pPr>
      <w:r>
        <w:rPr>
          <w:sz w:val="19"/>
          <w:szCs w:val="19"/>
        </w:rPr>
        <w:t xml:space="preserve">To get FIFO cost of goods sold,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holding   ·   rising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28–29</w:t>
      </w:r>
    </w:p>
    <w:p>
      <w:pPr>
        <w:spacing w:before="20" w:after="20" w:line="360" w:lineRule="auto"/>
        <w:ind w:left="200"/>
      </w:pPr>
      <w:r>
        <w:rPr>
          <w:sz w:val="19"/>
          <w:szCs w:val="19"/>
        </w:rPr>
        <w:t xml:space="preserve">The LIFO reserve is not an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inventory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illustrative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LIFO conformity rule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earnings are overstated at the end of 2025 but correct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classic exam item: when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left out of both purchases and the count, cost of goods sold and income are still correct, but inventory and accounts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counted   ·   because   ·   Remember   ·   cancel   ·   purchase   ·   Orontes   ·   Retained   ·   similar   ·   counterbalancing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goods available for sale</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consignment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Net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question, find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   ·   income   ·   direction</w:t>
            </w:r>
          </w:p>
        </w:tc>
      </w:tr>
    </w:tbl>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 1   ·   M3   ·   counterbalancing error   ·   M2   ·   M1   ·   Sep 21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COGS, line 2: 1,200 × $22</w:t>
            </w:r>
          </w:p>
        </w:tc>
        <w:tc>
          <w:tcPr>
            <w:tcW w:type="pct" w:w="2600"/>
            <w:tcMar>
              <w:top w:type="dxa" w:w="50"/>
              <w:left w:type="dxa" w:w="110"/>
              <w:bottom w:type="dxa" w:w="50"/>
              <w:right w:type="dxa" w:w="110"/>
            </w:tcMar>
          </w:tcPr>
          <w:p>
            <w:pPr>
              <w:spacing w:before="28" w:after="28"/>
            </w:pPr>
            <w:r>
              <w:rPr>
                <w:sz w:val="15"/>
                <w:szCs w:val="15"/>
              </w:rPr>
              <w:t xml:space="preserve">$26,400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inventory, line 1: 300 × $22</w:t>
            </w:r>
          </w:p>
        </w:tc>
        <w:tc>
          <w:tcPr>
            <w:tcW w:type="pct" w:w="2600"/>
            <w:shd w:fill="FBFAF6" w:val="clear"/>
            <w:tcMar>
              <w:top w:type="dxa" w:w="50"/>
              <w:left w:type="dxa" w:w="110"/>
              <w:bottom w:type="dxa" w:w="50"/>
              <w:right w:type="dxa" w:w="110"/>
            </w:tcMar>
          </w:tcPr>
          <w:p>
            <w:pPr>
              <w:spacing w:before="28" w:after="28"/>
            </w:pPr>
            <w:r>
              <w:rPr>
                <w:sz w:val="15"/>
                <w:szCs w:val="15"/>
              </w:rPr>
              <w:t xml:space="preserve">$6,600</w:t>
            </w:r>
          </w:p>
        </w:tc>
      </w:tr>
      <w:tr>
        <w:tc>
          <w:tcPr>
            <w:tcW w:type="pct" w:w="2400"/>
            <w:tcMar>
              <w:top w:type="dxa" w:w="50"/>
              <w:left w:type="dxa" w:w="110"/>
              <w:bottom w:type="dxa" w:w="50"/>
              <w:right w:type="dxa" w:w="110"/>
            </w:tcMar>
          </w:tcPr>
          <w:p>
            <w:pPr>
              <w:spacing w:before="28" w:after="28"/>
            </w:pPr>
            <w:r>
              <w:rPr>
                <w:sz w:val="15"/>
                <w:szCs w:val="15"/>
              </w:rPr>
              <w:t xml:space="preserve">Ending inventory, line 2: 500 × $20</w:t>
            </w:r>
          </w:p>
        </w:tc>
        <w:tc>
          <w:tcPr>
            <w:tcW w:type="pct" w:w="2600"/>
            <w:tcMar>
              <w:top w:type="dxa" w:w="50"/>
              <w:left w:type="dxa" w:w="110"/>
              <w:bottom w:type="dxa" w:w="50"/>
              <w:right w:type="dxa" w:w="110"/>
            </w:tcMar>
          </w:tcPr>
          <w:p>
            <w:pPr>
              <w:spacing w:before="28" w:after="28"/>
            </w:pPr>
            <w:r>
              <w:rPr>
                <w:sz w:val="15"/>
                <w:szCs w:val="15"/>
              </w:rPr>
              <w:t xml:space="preserve">$10,000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COGS</w:t>
            </w:r>
          </w:p>
        </w:tc>
        <w:tc>
          <w:tcPr>
            <w:tcW w:type="pct" w:w="2600"/>
            <w:shd w:fill="FBFAF6" w:val="clear"/>
            <w:tcMar>
              <w:top w:type="dxa" w:w="50"/>
              <w:left w:type="dxa" w:w="110"/>
              <w:bottom w:type="dxa" w:w="50"/>
              <w:right w:type="dxa" w:w="110"/>
            </w:tcMar>
          </w:tcPr>
          <w:p>
            <w:pPr>
              <w:spacing w:before="28" w:after="28"/>
            </w:pPr>
            <w:r>
              <w:rPr>
                <w:sz w:val="15"/>
                <w:szCs w:val="15"/>
              </w:rPr>
              <w:t xml:space="preserve">$25,000 + $26,400 = $51,400</w:t>
            </w:r>
          </w:p>
        </w:tc>
      </w:tr>
      <w:tr>
        <w:tc>
          <w:tcPr>
            <w:tcW w:type="pct" w:w="2400"/>
            <w:tcMar>
              <w:top w:type="dxa" w:w="50"/>
              <w:left w:type="dxa" w:w="110"/>
              <w:bottom w:type="dxa" w:w="50"/>
              <w:right w:type="dxa" w:w="110"/>
            </w:tcMar>
          </w:tcPr>
          <w:p>
            <w:pPr>
              <w:spacing w:before="28" w:after="28"/>
            </w:pPr>
            <w:r>
              <w:rPr>
                <w:sz w:val="15"/>
                <w:szCs w:val="15"/>
              </w:rPr>
              <w:t xml:space="preserve">Total ending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Check</w:t>
            </w:r>
          </w:p>
        </w:tc>
        <w:tc>
          <w:tcPr>
            <w:tcW w:type="pct" w:w="2600"/>
            <w:shd w:fill="FBFAF6" w:val="clear"/>
            <w:tcMar>
              <w:top w:type="dxa" w:w="50"/>
              <w:left w:type="dxa" w:w="110"/>
              <w:bottom w:type="dxa" w:w="50"/>
              <w:right w:type="dxa" w:w="110"/>
            </w:tcMar>
          </w:tcPr>
          <w:p>
            <w:pPr>
              <w:spacing w:before="28" w:after="28"/>
            </w:pPr>
            <w:r>
              <w:rPr>
                <w:sz w:val="15"/>
                <w:szCs w:val="15"/>
              </w:rPr>
              <w:t xml:space="preserve">$51,400 + $16,600 = $68,000, the cost of goods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$6,600 + $10,000 = $16,600   ·   available   ·   freight-out</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6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569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البضاعة المباعة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Sep 21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$6,600 + $10,000 = $16,600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counterbalanced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comparison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Net income is overstated by 40 (the size of the error), not overstated to 940. In a question, find the direction for the first year, then reverse it for the second year.</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40bc732c3dca7306ce3199dd85a739288d9d267.png" Type="http://schemas.openxmlformats.org/officeDocument/2006/relationships/image"/><Relationship Id="rId102" Target="media/42dba3d6655ed6b730ca17aee695b94b39c2a2e0.png" Type="http://schemas.openxmlformats.org/officeDocument/2006/relationships/image"/><Relationship Id="rId103" Target="media/28f59c4323046ead8aea474e89f049deb5bb2428.png" Type="http://schemas.openxmlformats.org/officeDocument/2006/relationships/image"/><Relationship Id="rId104" Target="media/2b54fdcf833fe11ce0b4dc25f34d99d7e563dd72.png" Type="http://schemas.openxmlformats.org/officeDocument/2006/relationships/image"/><Relationship Id="rId105" Target="media/e2b35aaa50a5251826b899af27c7c527083e7ff0.png" Type="http://schemas.openxmlformats.org/officeDocument/2006/relationships/image"/><Relationship Id="rId106" Target="media/70236250b93c33425e2c392ed04b09041528b2b9.png" Type="http://schemas.openxmlformats.org/officeDocument/2006/relationships/image"/><Relationship Id="rId107" Target="media/50d656b5e5ed54173d586ac30746a053bc282b8d.png" Type="http://schemas.openxmlformats.org/officeDocument/2006/relationships/image"/><Relationship Id="rId108" Target="media/55f5beca1148c25d6b156cc7854e1bcbd6a2eab5.png" Type="http://schemas.openxmlformats.org/officeDocument/2006/relationships/image"/><Relationship Id="rId109" Target="media/66f655fff359d092fba3a1d97f78f0e1b9d135de.png" Type="http://schemas.openxmlformats.org/officeDocument/2006/relationships/image"/><Relationship Id="rId110" Target="media/8b2e4e33d724154eb19fcfb1e9a7bcaa796921f4.png" Type="http://schemas.openxmlformats.org/officeDocument/2006/relationships/image"/><Relationship Id="rId111" Target="media/5dc0c2a4cd990806a84f13f5afa27b688adb547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dc:title>
  <dc:subject>Summary handouts</dc:subject>
  <cp:category>Student Book</cp:category>
</cp:coreProperties>
</file>